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6E1" w:rsidRPr="002D2803" w:rsidRDefault="00E016E1" w:rsidP="006826E8">
      <w:pPr>
        <w:spacing w:before="120"/>
        <w:jc w:val="both"/>
        <w:rPr>
          <w:bCs/>
          <w:sz w:val="22"/>
          <w:szCs w:val="22"/>
          <w:lang w:val="en-GB"/>
        </w:rPr>
      </w:pPr>
      <w:r w:rsidRPr="002D2803">
        <w:rPr>
          <w:bCs/>
          <w:sz w:val="22"/>
          <w:szCs w:val="22"/>
          <w:lang w:val="en-GB"/>
        </w:rPr>
        <w:t>Call for Paper</w:t>
      </w:r>
      <w:r w:rsidR="006826E8" w:rsidRPr="002D2803">
        <w:rPr>
          <w:bCs/>
          <w:sz w:val="22"/>
          <w:szCs w:val="22"/>
          <w:lang w:val="en-GB"/>
        </w:rPr>
        <w:t>s</w:t>
      </w:r>
      <w:r w:rsidRPr="002D2803">
        <w:rPr>
          <w:sz w:val="22"/>
          <w:szCs w:val="22"/>
          <w:lang w:val="en-GB"/>
        </w:rPr>
        <w:t xml:space="preserve"> </w:t>
      </w:r>
      <w:r w:rsidRPr="002D2803">
        <w:rPr>
          <w:bCs/>
          <w:sz w:val="22"/>
          <w:szCs w:val="22"/>
          <w:lang w:val="en-GB"/>
        </w:rPr>
        <w:t>for a</w:t>
      </w:r>
      <w:r w:rsidR="00140FC3" w:rsidRPr="002D2803">
        <w:rPr>
          <w:bCs/>
          <w:sz w:val="22"/>
          <w:szCs w:val="22"/>
          <w:lang w:val="en-GB"/>
        </w:rPr>
        <w:t>n incoming</w:t>
      </w:r>
      <w:r w:rsidRPr="002D2803">
        <w:rPr>
          <w:bCs/>
          <w:sz w:val="22"/>
          <w:szCs w:val="22"/>
          <w:lang w:val="en-GB"/>
        </w:rPr>
        <w:t xml:space="preserve"> issue the </w:t>
      </w:r>
      <w:r w:rsidRPr="002D2803">
        <w:rPr>
          <w:bCs/>
          <w:i/>
          <w:sz w:val="22"/>
          <w:szCs w:val="22"/>
          <w:lang w:val="en-GB"/>
        </w:rPr>
        <w:t>Maghreb-Mashreq</w:t>
      </w:r>
      <w:r w:rsidRPr="002D2803">
        <w:rPr>
          <w:bCs/>
          <w:sz w:val="22"/>
          <w:szCs w:val="22"/>
          <w:lang w:val="en-GB"/>
        </w:rPr>
        <w:t xml:space="preserve"> journal</w:t>
      </w:r>
      <w:r w:rsidR="006826E8" w:rsidRPr="002D2803">
        <w:rPr>
          <w:rStyle w:val="Appelnotedebasdep"/>
          <w:bCs/>
          <w:sz w:val="22"/>
          <w:szCs w:val="22"/>
          <w:lang w:val="en-GB"/>
        </w:rPr>
        <w:footnoteReference w:id="1"/>
      </w:r>
      <w:r w:rsidRPr="002D2803">
        <w:rPr>
          <w:bCs/>
          <w:sz w:val="22"/>
          <w:szCs w:val="22"/>
          <w:lang w:val="en-GB"/>
        </w:rPr>
        <w:t xml:space="preserve"> has dedicated to the topic: “Executives and entrepreneurs in middle-income economies: the place and dynamics of the middle class in the MENA region”.</w:t>
      </w:r>
      <w:r w:rsidR="006826E8" w:rsidRPr="002D2803">
        <w:rPr>
          <w:bCs/>
          <w:sz w:val="22"/>
          <w:szCs w:val="22"/>
          <w:lang w:val="en-GB"/>
        </w:rPr>
        <w:t xml:space="preserve"> </w:t>
      </w:r>
      <w:r w:rsidR="00DB4C51">
        <w:rPr>
          <w:bCs/>
          <w:sz w:val="22"/>
          <w:szCs w:val="22"/>
          <w:lang w:val="en-GB"/>
        </w:rPr>
        <w:t xml:space="preserve">Forthcoming </w:t>
      </w:r>
      <w:r w:rsidR="006826E8" w:rsidRPr="002D2803">
        <w:rPr>
          <w:bCs/>
          <w:sz w:val="22"/>
          <w:szCs w:val="22"/>
          <w:lang w:val="en-GB"/>
        </w:rPr>
        <w:t>in June-September 2023</w:t>
      </w:r>
      <w:r w:rsidR="00632CFE" w:rsidRPr="002D2803">
        <w:rPr>
          <w:bCs/>
          <w:sz w:val="22"/>
          <w:szCs w:val="22"/>
          <w:lang w:val="en-GB"/>
        </w:rPr>
        <w:t>.</w:t>
      </w:r>
    </w:p>
    <w:p w:rsidR="00E016E1" w:rsidRPr="002D2803" w:rsidRDefault="00E016E1" w:rsidP="00E016E1">
      <w:pPr>
        <w:spacing w:before="120" w:after="120"/>
        <w:jc w:val="both"/>
        <w:rPr>
          <w:b/>
          <w:sz w:val="22"/>
          <w:szCs w:val="22"/>
          <w:lang w:val="en-GB"/>
        </w:rPr>
      </w:pPr>
      <w:r w:rsidRPr="002D2803">
        <w:rPr>
          <w:b/>
          <w:sz w:val="22"/>
          <w:szCs w:val="22"/>
          <w:lang w:val="en-GB"/>
        </w:rPr>
        <w:t>Variety and commonalities of the MENA region.</w:t>
      </w:r>
    </w:p>
    <w:p w:rsidR="00E016E1" w:rsidRPr="002D2803" w:rsidRDefault="00E016E1" w:rsidP="004E1C91">
      <w:pPr>
        <w:spacing w:after="120"/>
        <w:jc w:val="both"/>
        <w:rPr>
          <w:sz w:val="22"/>
          <w:szCs w:val="22"/>
          <w:lang w:val="en-GB"/>
        </w:rPr>
      </w:pPr>
      <w:r w:rsidRPr="002D2803">
        <w:rPr>
          <w:sz w:val="22"/>
          <w:szCs w:val="22"/>
          <w:lang w:val="en-GB"/>
        </w:rPr>
        <w:t xml:space="preserve">The Middle East and North Africa (MENA) region comprises ten main countries belonging to the geographical area of Mashreq (Egypt, Iraq, Jordan, Lebanon, Palestine and Syria) and the Maghreb (Algeria, Morocco, Tunisia and Libya). Among these countries, a few are emerging economies, whereas others (Libya, Syria and Iraq) are lagging behind, due to warfare. Some economies are oil-exporting countries (Algeria, Libya and Iraq), bringing in a revenue that allows to finance the growth and prosperity of the middle class. </w:t>
      </w:r>
    </w:p>
    <w:p w:rsidR="00E016E1" w:rsidRPr="002D2803" w:rsidRDefault="00E016E1" w:rsidP="004E1C91">
      <w:pPr>
        <w:spacing w:after="120"/>
        <w:jc w:val="both"/>
        <w:rPr>
          <w:sz w:val="22"/>
          <w:szCs w:val="22"/>
          <w:lang w:val="en-GB"/>
        </w:rPr>
      </w:pPr>
      <w:r w:rsidRPr="002D2803">
        <w:rPr>
          <w:sz w:val="22"/>
          <w:szCs w:val="22"/>
          <w:lang w:val="en-GB"/>
        </w:rPr>
        <w:t xml:space="preserve">Beyond their diversity, all these countries share a series of characteristics that may prove detrimental to the development of the middle class. However, youth unemployment and job informality have been pervasive features of the MENA labour markets. In addition, very weak female participation rate and low occupational mobility from informal to formal labour market segment hamper the process of bolstering the middle class. </w:t>
      </w:r>
    </w:p>
    <w:p w:rsidR="00E016E1" w:rsidRPr="002D2803" w:rsidRDefault="00E016E1" w:rsidP="00E016E1">
      <w:pPr>
        <w:spacing w:after="120"/>
        <w:jc w:val="both"/>
        <w:rPr>
          <w:sz w:val="22"/>
          <w:szCs w:val="22"/>
          <w:lang w:val="en-GB"/>
        </w:rPr>
      </w:pPr>
      <w:r w:rsidRPr="002D2803">
        <w:rPr>
          <w:sz w:val="22"/>
          <w:szCs w:val="22"/>
          <w:lang w:val="en-GB"/>
        </w:rPr>
        <w:t xml:space="preserve">Job creation in the region has been biased toward manufacturing, building and construction with an outsized share of informal workforce, while skilled services relying on formal workforce have stagnated. Public sector has also scaled down recruitment since a decade ago as part of macroeconomic and public-sector reforms (Adair &amp; </w:t>
      </w:r>
      <w:proofErr w:type="spellStart"/>
      <w:r w:rsidRPr="002D2803">
        <w:rPr>
          <w:sz w:val="22"/>
          <w:szCs w:val="22"/>
          <w:lang w:val="en-GB"/>
        </w:rPr>
        <w:t>Hlasny</w:t>
      </w:r>
      <w:proofErr w:type="spellEnd"/>
      <w:r w:rsidRPr="002D2803">
        <w:rPr>
          <w:sz w:val="22"/>
          <w:szCs w:val="22"/>
          <w:lang w:val="en-GB"/>
        </w:rPr>
        <w:t>, 2022).</w:t>
      </w:r>
    </w:p>
    <w:p w:rsidR="00E016E1" w:rsidRPr="002D2803" w:rsidRDefault="00E016E1" w:rsidP="00E016E1">
      <w:pPr>
        <w:spacing w:after="120"/>
        <w:jc w:val="both"/>
        <w:rPr>
          <w:sz w:val="22"/>
          <w:szCs w:val="22"/>
          <w:lang w:val="en-GB"/>
        </w:rPr>
      </w:pPr>
      <w:r w:rsidRPr="002D2803">
        <w:rPr>
          <w:sz w:val="22"/>
          <w:szCs w:val="22"/>
          <w:lang w:val="en-GB"/>
        </w:rPr>
        <w:t>In modern economies, the middle class drives demand for private goods and services</w:t>
      </w:r>
      <w:r w:rsidR="0037455A">
        <w:rPr>
          <w:sz w:val="22"/>
          <w:szCs w:val="22"/>
          <w:lang w:val="en-GB"/>
        </w:rPr>
        <w:t xml:space="preserve"> </w:t>
      </w:r>
      <w:r w:rsidR="0037455A" w:rsidRPr="00A83F1F">
        <w:rPr>
          <w:lang w:val="en-GB"/>
        </w:rPr>
        <w:t xml:space="preserve">(Banerjee </w:t>
      </w:r>
      <w:r w:rsidR="0037455A">
        <w:rPr>
          <w:lang w:val="en-GB"/>
        </w:rPr>
        <w:t>&amp;</w:t>
      </w:r>
      <w:r w:rsidR="0037455A" w:rsidRPr="00A83F1F">
        <w:rPr>
          <w:lang w:val="en-GB"/>
        </w:rPr>
        <w:t xml:space="preserve"> </w:t>
      </w:r>
      <w:proofErr w:type="spellStart"/>
      <w:r w:rsidR="0037455A" w:rsidRPr="00A83F1F">
        <w:rPr>
          <w:lang w:val="en-GB"/>
        </w:rPr>
        <w:t>Duflo</w:t>
      </w:r>
      <w:proofErr w:type="spellEnd"/>
      <w:r w:rsidR="0037455A" w:rsidRPr="00A83F1F">
        <w:rPr>
          <w:lang w:val="en-GB"/>
        </w:rPr>
        <w:t>, 2008)</w:t>
      </w:r>
      <w:r w:rsidR="0037455A" w:rsidRPr="00BD686C">
        <w:rPr>
          <w:lang w:val="en-GB"/>
        </w:rPr>
        <w:t>,</w:t>
      </w:r>
      <w:r w:rsidR="0037455A" w:rsidRPr="002A5969">
        <w:rPr>
          <w:lang w:val="en-GB"/>
        </w:rPr>
        <w:t xml:space="preserve"> but also for public services, such as education, health and infrastructure</w:t>
      </w:r>
      <w:r w:rsidR="0037455A">
        <w:rPr>
          <w:lang w:val="en-GB"/>
        </w:rPr>
        <w:t xml:space="preserve"> </w:t>
      </w:r>
      <w:r w:rsidR="0037455A" w:rsidRPr="00BD686C">
        <w:rPr>
          <w:lang w:val="en-GB"/>
        </w:rPr>
        <w:t>(Easterly, 2001)</w:t>
      </w:r>
      <w:r w:rsidR="0037455A" w:rsidRPr="002A5969">
        <w:rPr>
          <w:lang w:val="en-GB"/>
        </w:rPr>
        <w:t>.</w:t>
      </w:r>
      <w:r w:rsidRPr="002D2803">
        <w:rPr>
          <w:sz w:val="22"/>
          <w:szCs w:val="22"/>
          <w:lang w:val="en-GB"/>
        </w:rPr>
        <w:t>, but also for public services, such as education, health and infrastructure. Both private and public investments in these sectors support sustainable and inclusive economic growth. Analysing the state and dynamics of the middle class in the MENA region is a major challenge.</w:t>
      </w:r>
    </w:p>
    <w:p w:rsidR="00E016E1" w:rsidRPr="002D2803" w:rsidRDefault="00E016E1" w:rsidP="00E016E1">
      <w:pPr>
        <w:shd w:val="clear" w:color="auto" w:fill="FFFFFF"/>
        <w:jc w:val="both"/>
        <w:rPr>
          <w:rStyle w:val="auteur"/>
          <w:rFonts w:eastAsiaTheme="majorEastAsia"/>
          <w:bCs/>
          <w:sz w:val="22"/>
          <w:szCs w:val="22"/>
          <w:lang w:val="en-GB"/>
        </w:rPr>
      </w:pPr>
      <w:r w:rsidRPr="002D2803">
        <w:rPr>
          <w:rStyle w:val="auteur"/>
          <w:rFonts w:eastAsiaTheme="majorEastAsia"/>
          <w:bCs/>
          <w:sz w:val="22"/>
          <w:szCs w:val="22"/>
          <w:lang w:val="en-GB"/>
        </w:rPr>
        <w:t xml:space="preserve">Noteworthy is the heterogeneity of the categories. The executive category includes middle and senior managers. The category </w:t>
      </w:r>
      <w:r w:rsidR="00833AA3" w:rsidRPr="002D2803">
        <w:rPr>
          <w:rStyle w:val="auteur"/>
          <w:rFonts w:eastAsiaTheme="majorEastAsia"/>
          <w:bCs/>
          <w:sz w:val="22"/>
          <w:szCs w:val="22"/>
          <w:lang w:val="en-GB"/>
        </w:rPr>
        <w:t xml:space="preserve">of entrepreneurs </w:t>
      </w:r>
      <w:r w:rsidRPr="002D2803">
        <w:rPr>
          <w:rStyle w:val="auteur"/>
          <w:rFonts w:eastAsiaTheme="majorEastAsia"/>
          <w:bCs/>
          <w:sz w:val="22"/>
          <w:szCs w:val="22"/>
          <w:lang w:val="en-GB"/>
        </w:rPr>
        <w:t>includes craft</w:t>
      </w:r>
      <w:r w:rsidR="00833AA3" w:rsidRPr="002D2803">
        <w:rPr>
          <w:rStyle w:val="auteur"/>
          <w:rFonts w:eastAsiaTheme="majorEastAsia"/>
          <w:bCs/>
          <w:sz w:val="22"/>
          <w:szCs w:val="22"/>
          <w:lang w:val="en-GB"/>
        </w:rPr>
        <w:t>s</w:t>
      </w:r>
      <w:r w:rsidRPr="002D2803">
        <w:rPr>
          <w:rStyle w:val="auteur"/>
          <w:rFonts w:eastAsiaTheme="majorEastAsia"/>
          <w:bCs/>
          <w:sz w:val="22"/>
          <w:szCs w:val="22"/>
          <w:lang w:val="en-GB"/>
        </w:rPr>
        <w:t>men without employees, small owners of micro enterprises a</w:t>
      </w:r>
      <w:r w:rsidR="00833AA3" w:rsidRPr="002D2803">
        <w:rPr>
          <w:rStyle w:val="auteur"/>
          <w:rFonts w:eastAsiaTheme="majorEastAsia"/>
          <w:bCs/>
          <w:sz w:val="22"/>
          <w:szCs w:val="22"/>
          <w:lang w:val="en-GB"/>
        </w:rPr>
        <w:t xml:space="preserve">s well as </w:t>
      </w:r>
      <w:r w:rsidRPr="002D2803">
        <w:rPr>
          <w:rStyle w:val="auteur"/>
          <w:rFonts w:eastAsiaTheme="majorEastAsia"/>
          <w:bCs/>
          <w:sz w:val="22"/>
          <w:szCs w:val="22"/>
          <w:lang w:val="en-GB"/>
        </w:rPr>
        <w:t>CEOs of medium and large enterprises employing 50</w:t>
      </w:r>
      <w:r w:rsidR="00833AA3" w:rsidRPr="002D2803">
        <w:rPr>
          <w:rStyle w:val="auteur"/>
          <w:rFonts w:eastAsiaTheme="majorEastAsia"/>
          <w:bCs/>
          <w:sz w:val="22"/>
          <w:szCs w:val="22"/>
          <w:lang w:val="en-GB"/>
        </w:rPr>
        <w:t>-</w:t>
      </w:r>
      <w:r w:rsidRPr="002D2803">
        <w:rPr>
          <w:rStyle w:val="auteur"/>
          <w:rFonts w:eastAsiaTheme="majorEastAsia"/>
          <w:bCs/>
          <w:sz w:val="22"/>
          <w:szCs w:val="22"/>
          <w:lang w:val="en-GB"/>
        </w:rPr>
        <w:t>250 employees and beyond.</w:t>
      </w:r>
    </w:p>
    <w:p w:rsidR="00E016E1" w:rsidRPr="002D2803" w:rsidRDefault="00E016E1" w:rsidP="00E016E1">
      <w:pPr>
        <w:spacing w:before="120" w:after="120"/>
        <w:jc w:val="both"/>
        <w:rPr>
          <w:b/>
          <w:sz w:val="22"/>
          <w:szCs w:val="22"/>
          <w:lang w:val="en-GB"/>
        </w:rPr>
      </w:pPr>
      <w:r w:rsidRPr="002D2803">
        <w:rPr>
          <w:b/>
          <w:sz w:val="22"/>
          <w:szCs w:val="22"/>
          <w:lang w:val="en-GB"/>
        </w:rPr>
        <w:t xml:space="preserve">Social stratification and </w:t>
      </w:r>
      <w:r w:rsidR="00833AA3" w:rsidRPr="002D2803">
        <w:rPr>
          <w:b/>
          <w:sz w:val="22"/>
          <w:szCs w:val="22"/>
          <w:lang w:val="en-GB"/>
        </w:rPr>
        <w:t xml:space="preserve">the </w:t>
      </w:r>
      <w:r w:rsidRPr="002D2803">
        <w:rPr>
          <w:b/>
          <w:sz w:val="22"/>
          <w:szCs w:val="22"/>
          <w:lang w:val="en-GB"/>
        </w:rPr>
        <w:t>middle class.</w:t>
      </w:r>
    </w:p>
    <w:p w:rsidR="00E016E1" w:rsidRPr="004915C1" w:rsidRDefault="00E016E1" w:rsidP="00E016E1">
      <w:pPr>
        <w:spacing w:after="40"/>
        <w:jc w:val="both"/>
        <w:rPr>
          <w:sz w:val="22"/>
          <w:szCs w:val="22"/>
          <w:lang w:val="en-GB"/>
        </w:rPr>
      </w:pPr>
      <w:r w:rsidRPr="004915C1">
        <w:rPr>
          <w:sz w:val="22"/>
          <w:szCs w:val="22"/>
          <w:lang w:val="en-GB"/>
        </w:rPr>
        <w:t>Social stratification includes various representations</w:t>
      </w:r>
    </w:p>
    <w:p w:rsidR="00E016E1" w:rsidRPr="004C2E75" w:rsidRDefault="00833AA3" w:rsidP="00833AA3">
      <w:pPr>
        <w:spacing w:after="120"/>
        <w:jc w:val="both"/>
        <w:rPr>
          <w:color w:val="0A0A0A"/>
          <w:sz w:val="22"/>
          <w:szCs w:val="22"/>
          <w:lang w:val="en-GB"/>
        </w:rPr>
      </w:pPr>
      <w:r w:rsidRPr="002D2803">
        <w:rPr>
          <w:rStyle w:val="lev"/>
          <w:b w:val="0"/>
          <w:color w:val="0A0A0A"/>
          <w:sz w:val="22"/>
          <w:szCs w:val="22"/>
          <w:shd w:val="clear" w:color="auto" w:fill="FEFEFE"/>
          <w:lang w:val="en-GB"/>
        </w:rPr>
        <w:t xml:space="preserve">A first approach is focusing upon incomes. </w:t>
      </w:r>
      <w:r w:rsidR="00E016E1" w:rsidRPr="002D2803">
        <w:rPr>
          <w:color w:val="0A0A0A"/>
          <w:sz w:val="22"/>
          <w:szCs w:val="22"/>
          <w:shd w:val="clear" w:color="auto" w:fill="FEFEFE"/>
          <w:lang w:val="en-GB"/>
        </w:rPr>
        <w:t>The pyramid represents a tiny elite, very large poor populations, and a central middle class that is not necessarily large. It is typical of emerging countries, with emerging middle classes.</w:t>
      </w:r>
      <w:r w:rsidRPr="002D2803">
        <w:rPr>
          <w:color w:val="0A0A0A"/>
          <w:sz w:val="22"/>
          <w:szCs w:val="22"/>
          <w:shd w:val="clear" w:color="auto" w:fill="FEFEFE"/>
          <w:lang w:val="en-GB"/>
        </w:rPr>
        <w:t xml:space="preserve"> </w:t>
      </w:r>
      <w:r w:rsidR="00E016E1" w:rsidRPr="002D2803">
        <w:rPr>
          <w:color w:val="0A0A0A"/>
          <w:sz w:val="22"/>
          <w:szCs w:val="22"/>
          <w:lang w:val="en-GB"/>
        </w:rPr>
        <w:t xml:space="preserve">The hot-air balloon image describes a central and ascending middle class, with a small affluent class and reduced </w:t>
      </w:r>
      <w:r w:rsidR="00E016E1" w:rsidRPr="002D2803">
        <w:rPr>
          <w:color w:val="0A0A0A"/>
          <w:sz w:val="22"/>
          <w:szCs w:val="22"/>
          <w:shd w:val="clear" w:color="auto" w:fill="FEFEFE"/>
          <w:lang w:val="en-GB"/>
        </w:rPr>
        <w:t>poor populations</w:t>
      </w:r>
      <w:r w:rsidR="00E016E1" w:rsidRPr="002D2803">
        <w:rPr>
          <w:color w:val="0A0A0A"/>
          <w:sz w:val="22"/>
          <w:szCs w:val="22"/>
          <w:lang w:val="en-GB"/>
        </w:rPr>
        <w:t>. Most Western societies in OECD countries illustrate this case.</w:t>
      </w:r>
      <w:r w:rsidRPr="002D2803">
        <w:rPr>
          <w:color w:val="0A0A0A"/>
          <w:sz w:val="22"/>
          <w:szCs w:val="22"/>
          <w:lang w:val="en-GB"/>
        </w:rPr>
        <w:t xml:space="preserve"> </w:t>
      </w:r>
      <w:r w:rsidR="00E016E1" w:rsidRPr="002D2803">
        <w:rPr>
          <w:color w:val="0A0A0A"/>
          <w:sz w:val="22"/>
          <w:szCs w:val="22"/>
          <w:lang w:val="en-GB"/>
        </w:rPr>
        <w:t xml:space="preserve">The hourglass is a metaphor for the shrinking middle classes, together with the </w:t>
      </w:r>
      <w:r w:rsidR="00E016E1" w:rsidRPr="004C2E75">
        <w:rPr>
          <w:color w:val="0A0A0A"/>
          <w:sz w:val="22"/>
          <w:szCs w:val="22"/>
          <w:lang w:val="en-GB"/>
        </w:rPr>
        <w:t>enrichment of its upper class and the impoverishment of its lower class.</w:t>
      </w:r>
    </w:p>
    <w:p w:rsidR="00E016E1" w:rsidRPr="004C2E75" w:rsidRDefault="00833AA3" w:rsidP="004E1C91">
      <w:pPr>
        <w:shd w:val="clear" w:color="auto" w:fill="FFFFFF"/>
        <w:spacing w:after="120"/>
        <w:jc w:val="both"/>
        <w:rPr>
          <w:rStyle w:val="lev"/>
          <w:sz w:val="22"/>
          <w:szCs w:val="22"/>
          <w:shd w:val="clear" w:color="auto" w:fill="FFFFFF"/>
          <w:lang w:val="en-GB"/>
        </w:rPr>
      </w:pPr>
      <w:r w:rsidRPr="004C2E75">
        <w:rPr>
          <w:rStyle w:val="lev"/>
          <w:b w:val="0"/>
          <w:color w:val="0A0A0A"/>
          <w:sz w:val="22"/>
          <w:szCs w:val="22"/>
          <w:shd w:val="clear" w:color="auto" w:fill="FEFEFE"/>
          <w:lang w:val="en-GB"/>
        </w:rPr>
        <w:t xml:space="preserve">A second approach emphasizes </w:t>
      </w:r>
      <w:r w:rsidRPr="004C2E75">
        <w:rPr>
          <w:color w:val="0F1111"/>
          <w:sz w:val="22"/>
          <w:szCs w:val="22"/>
          <w:shd w:val="clear" w:color="auto" w:fill="FFFFFF"/>
          <w:lang w:val="en-GB"/>
        </w:rPr>
        <w:t xml:space="preserve">social segmentation. </w:t>
      </w:r>
      <w:r w:rsidR="00E016E1" w:rsidRPr="004C2E75">
        <w:rPr>
          <w:color w:val="0F1111"/>
          <w:sz w:val="22"/>
          <w:szCs w:val="22"/>
          <w:shd w:val="clear" w:color="auto" w:fill="FFFFFF"/>
          <w:lang w:val="en-GB"/>
        </w:rPr>
        <w:t xml:space="preserve">According to Max Weber (1921), the social spectrum embodies four distinct categories): </w:t>
      </w:r>
      <w:r w:rsidR="00E016E1" w:rsidRPr="004C2E75">
        <w:rPr>
          <w:color w:val="222222"/>
          <w:sz w:val="22"/>
          <w:szCs w:val="22"/>
          <w:lang w:val="en-GB"/>
        </w:rPr>
        <w:t xml:space="preserve">The propertied upper class, the property-less </w:t>
      </w:r>
      <w:proofErr w:type="gramStart"/>
      <w:r w:rsidR="00E016E1" w:rsidRPr="004C2E75">
        <w:rPr>
          <w:color w:val="222222"/>
          <w:sz w:val="22"/>
          <w:szCs w:val="22"/>
          <w:lang w:val="en-GB"/>
        </w:rPr>
        <w:t>white collar</w:t>
      </w:r>
      <w:proofErr w:type="gramEnd"/>
      <w:r w:rsidR="00E016E1" w:rsidRPr="004C2E75">
        <w:rPr>
          <w:color w:val="222222"/>
          <w:sz w:val="22"/>
          <w:szCs w:val="22"/>
          <w:lang w:val="en-GB"/>
        </w:rPr>
        <w:t xml:space="preserve"> workers, the petty bourgeoisie and the manual worker class. T</w:t>
      </w:r>
      <w:r w:rsidR="00E016E1" w:rsidRPr="004C2E75">
        <w:rPr>
          <w:rStyle w:val="lev"/>
          <w:b w:val="0"/>
          <w:sz w:val="22"/>
          <w:szCs w:val="22"/>
          <w:shd w:val="clear" w:color="auto" w:fill="FFFFFF"/>
          <w:lang w:val="en-GB"/>
        </w:rPr>
        <w:t>he three components of social stratification are power, class, and status. People belonging to same stratum enjoy the same lifestyle</w:t>
      </w:r>
      <w:r w:rsidR="0037455A" w:rsidRPr="004C2E75">
        <w:rPr>
          <w:rStyle w:val="lev"/>
          <w:b w:val="0"/>
          <w:sz w:val="22"/>
          <w:szCs w:val="22"/>
          <w:shd w:val="clear" w:color="auto" w:fill="FFFFFF"/>
          <w:lang w:val="en-GB"/>
        </w:rPr>
        <w:t xml:space="preserve"> (see the </w:t>
      </w:r>
      <w:r w:rsidR="0037455A" w:rsidRPr="004C2E75">
        <w:rPr>
          <w:rStyle w:val="lev"/>
          <w:b w:val="0"/>
          <w:i/>
          <w:sz w:val="22"/>
          <w:szCs w:val="22"/>
          <w:shd w:val="clear" w:color="auto" w:fill="FFFFFF"/>
          <w:lang w:val="en-GB"/>
        </w:rPr>
        <w:t>habitus</w:t>
      </w:r>
      <w:r w:rsidR="0037455A" w:rsidRPr="004C2E75">
        <w:rPr>
          <w:rStyle w:val="lev"/>
          <w:b w:val="0"/>
          <w:sz w:val="22"/>
          <w:szCs w:val="22"/>
          <w:shd w:val="clear" w:color="auto" w:fill="FFFFFF"/>
          <w:lang w:val="en-GB"/>
        </w:rPr>
        <w:t xml:space="preserve"> concept developed by Bourdieu, 1972), share social values</w:t>
      </w:r>
      <w:r w:rsidR="00E016E1" w:rsidRPr="004C2E75">
        <w:rPr>
          <w:rStyle w:val="lev"/>
          <w:b w:val="0"/>
          <w:sz w:val="22"/>
          <w:szCs w:val="22"/>
          <w:shd w:val="clear" w:color="auto" w:fill="FFFFFF"/>
          <w:lang w:val="en-GB"/>
        </w:rPr>
        <w:t xml:space="preserve"> and are endowed with the same opportunities for growth. Statistician Thomas Henry Craig Stevenson identifie</w:t>
      </w:r>
      <w:r w:rsidR="004E1C91" w:rsidRPr="004C2E75">
        <w:rPr>
          <w:rStyle w:val="lev"/>
          <w:b w:val="0"/>
          <w:sz w:val="22"/>
          <w:szCs w:val="22"/>
          <w:shd w:val="clear" w:color="auto" w:fill="FFFFFF"/>
          <w:lang w:val="en-GB"/>
        </w:rPr>
        <w:t>d</w:t>
      </w:r>
      <w:r w:rsidR="00E016E1" w:rsidRPr="004C2E75">
        <w:rPr>
          <w:rStyle w:val="lev"/>
          <w:b w:val="0"/>
          <w:sz w:val="22"/>
          <w:szCs w:val="22"/>
          <w:shd w:val="clear" w:color="auto" w:fill="FFFFFF"/>
          <w:lang w:val="en-GB"/>
        </w:rPr>
        <w:t xml:space="preserve"> the middle class in </w:t>
      </w:r>
      <w:r w:rsidR="004E1C91" w:rsidRPr="004C2E75">
        <w:rPr>
          <w:rStyle w:val="lev"/>
          <w:b w:val="0"/>
          <w:sz w:val="22"/>
          <w:szCs w:val="22"/>
          <w:shd w:val="clear" w:color="auto" w:fill="FFFFFF"/>
          <w:lang w:val="en-GB"/>
        </w:rPr>
        <w:t>19</w:t>
      </w:r>
      <w:r w:rsidR="00E016E1" w:rsidRPr="004C2E75">
        <w:rPr>
          <w:rStyle w:val="lev"/>
          <w:b w:val="0"/>
          <w:sz w:val="22"/>
          <w:szCs w:val="22"/>
          <w:shd w:val="clear" w:color="auto" w:fill="FFFFFF"/>
          <w:lang w:val="en-GB"/>
        </w:rPr>
        <w:t xml:space="preserve">13 as those between the upper class and the working class </w:t>
      </w:r>
      <w:r w:rsidR="00E016E1" w:rsidRPr="004C2E75">
        <w:rPr>
          <w:sz w:val="22"/>
          <w:szCs w:val="22"/>
          <w:lang w:val="en-GB"/>
        </w:rPr>
        <w:t>(</w:t>
      </w:r>
      <w:proofErr w:type="spellStart"/>
      <w:r w:rsidR="00022E72" w:rsidRPr="004C2E75">
        <w:rPr>
          <w:sz w:val="22"/>
          <w:szCs w:val="22"/>
        </w:rPr>
        <w:fldChar w:fldCharType="begin"/>
      </w:r>
      <w:r w:rsidR="00022E72" w:rsidRPr="004C2E75">
        <w:rPr>
          <w:sz w:val="22"/>
          <w:szCs w:val="22"/>
        </w:rPr>
        <w:instrText xml:space="preserve"> HYPERLINK "https://www.google.com/search?rlz=1C1CHBF_frFR932FR</w:instrText>
      </w:r>
      <w:r w:rsidR="00022E72" w:rsidRPr="004C2E75">
        <w:rPr>
          <w:sz w:val="22"/>
          <w:szCs w:val="22"/>
        </w:rPr>
        <w:instrText xml:space="preserve">932&amp;sxsrf=ALiCzsbwUHea4dU-vQhMTXhg2ijI2B7Jcw:1661356383586&amp;tbm=bks&amp;q=inauthor:%22Simon+Szreter%22&amp;sa=X&amp;ved=2ahUKEwi_3tro6t_5AhWiz4UKHa1CDAoQ9Ah6BAgTEAg" </w:instrText>
      </w:r>
      <w:r w:rsidR="00022E72" w:rsidRPr="004C2E75">
        <w:rPr>
          <w:sz w:val="22"/>
          <w:szCs w:val="22"/>
        </w:rPr>
        <w:fldChar w:fldCharType="separate"/>
      </w:r>
      <w:r w:rsidR="00E016E1" w:rsidRPr="004C2E75">
        <w:rPr>
          <w:sz w:val="22"/>
          <w:szCs w:val="22"/>
          <w:lang w:val="en-GB"/>
        </w:rPr>
        <w:t>Szreter</w:t>
      </w:r>
      <w:proofErr w:type="spellEnd"/>
      <w:r w:rsidR="00022E72" w:rsidRPr="004C2E75">
        <w:rPr>
          <w:sz w:val="22"/>
          <w:szCs w:val="22"/>
          <w:lang w:val="en-GB"/>
        </w:rPr>
        <w:fldChar w:fldCharType="end"/>
      </w:r>
      <w:r w:rsidR="00E016E1" w:rsidRPr="004C2E75">
        <w:rPr>
          <w:sz w:val="22"/>
          <w:szCs w:val="22"/>
          <w:lang w:val="en-GB"/>
        </w:rPr>
        <w:t>, 1996)</w:t>
      </w:r>
      <w:r w:rsidR="004E1C91" w:rsidRPr="004C2E75">
        <w:rPr>
          <w:sz w:val="22"/>
          <w:szCs w:val="22"/>
          <w:lang w:val="en-GB"/>
        </w:rPr>
        <w:t>.</w:t>
      </w:r>
    </w:p>
    <w:p w:rsidR="00E016E1" w:rsidRPr="002D2803" w:rsidRDefault="004E1C91" w:rsidP="00E016E1">
      <w:pPr>
        <w:pStyle w:val="NormalWeb"/>
        <w:shd w:val="clear" w:color="auto" w:fill="FFFFFF"/>
        <w:spacing w:before="0" w:beforeAutospacing="0" w:after="120" w:afterAutospacing="0"/>
        <w:jc w:val="both"/>
        <w:rPr>
          <w:color w:val="202122"/>
          <w:sz w:val="22"/>
          <w:szCs w:val="22"/>
          <w:shd w:val="clear" w:color="auto" w:fill="FFFFFF"/>
          <w:lang w:val="en-GB"/>
        </w:rPr>
      </w:pPr>
      <w:r w:rsidRPr="002D2803">
        <w:rPr>
          <w:color w:val="202122"/>
          <w:sz w:val="22"/>
          <w:szCs w:val="22"/>
          <w:shd w:val="clear" w:color="auto" w:fill="FFFFFF"/>
          <w:lang w:val="en-GB"/>
        </w:rPr>
        <w:lastRenderedPageBreak/>
        <w:t xml:space="preserve">Last, </w:t>
      </w:r>
      <w:r w:rsidR="00E016E1" w:rsidRPr="002D2803">
        <w:rPr>
          <w:color w:val="202122"/>
          <w:sz w:val="22"/>
          <w:szCs w:val="22"/>
          <w:shd w:val="clear" w:color="auto" w:fill="FFFFFF"/>
          <w:lang w:val="en-GB"/>
        </w:rPr>
        <w:t xml:space="preserve">Mills (1951) refers to the "middle class" as the combination of the labour aristocracy (upper working class), the lower middle-class (lower-level managers, small business owners and skilled craftsmen) and </w:t>
      </w:r>
      <w:proofErr w:type="gramStart"/>
      <w:r w:rsidR="00E016E1" w:rsidRPr="002D2803">
        <w:rPr>
          <w:color w:val="202122"/>
          <w:sz w:val="22"/>
          <w:szCs w:val="22"/>
          <w:shd w:val="clear" w:color="auto" w:fill="FFFFFF"/>
          <w:lang w:val="en-GB"/>
        </w:rPr>
        <w:t>white collar</w:t>
      </w:r>
      <w:proofErr w:type="gramEnd"/>
      <w:r w:rsidR="00E016E1" w:rsidRPr="002D2803">
        <w:rPr>
          <w:color w:val="202122"/>
          <w:sz w:val="22"/>
          <w:szCs w:val="22"/>
          <w:shd w:val="clear" w:color="auto" w:fill="FFFFFF"/>
          <w:lang w:val="en-GB"/>
        </w:rPr>
        <w:t xml:space="preserve"> salaried workers (teachers, social workers, engineers, accountants, managers, nurses and middle-level administrators).</w:t>
      </w:r>
    </w:p>
    <w:p w:rsidR="00E016E1" w:rsidRPr="002D2803" w:rsidRDefault="00E016E1" w:rsidP="00E016E1">
      <w:pPr>
        <w:spacing w:before="120" w:after="120"/>
        <w:jc w:val="both"/>
        <w:rPr>
          <w:b/>
          <w:color w:val="323232"/>
          <w:sz w:val="22"/>
          <w:szCs w:val="22"/>
          <w:lang w:val="en-GB"/>
        </w:rPr>
      </w:pPr>
      <w:r w:rsidRPr="002D2803">
        <w:rPr>
          <w:b/>
          <w:color w:val="323232"/>
          <w:sz w:val="22"/>
          <w:szCs w:val="22"/>
          <w:lang w:val="en-GB"/>
        </w:rPr>
        <w:t>Definitions and measurements</w:t>
      </w:r>
    </w:p>
    <w:p w:rsidR="00E016E1" w:rsidRPr="002A7319" w:rsidRDefault="00E016E1" w:rsidP="002A7319">
      <w:pPr>
        <w:spacing w:after="120"/>
        <w:jc w:val="both"/>
        <w:rPr>
          <w:bCs/>
          <w:sz w:val="22"/>
          <w:szCs w:val="22"/>
          <w:lang w:val="en-GB"/>
        </w:rPr>
      </w:pPr>
      <w:r w:rsidRPr="002A7319">
        <w:rPr>
          <w:bCs/>
          <w:sz w:val="22"/>
          <w:szCs w:val="22"/>
          <w:lang w:val="en-GB"/>
        </w:rPr>
        <w:t>There is no agreed definition of the middle class</w:t>
      </w:r>
      <w:r w:rsidR="0037455A" w:rsidRPr="002A7319">
        <w:rPr>
          <w:bCs/>
          <w:sz w:val="22"/>
          <w:szCs w:val="22"/>
          <w:lang w:val="en-GB"/>
        </w:rPr>
        <w:t xml:space="preserve"> (Clément et al, 2022)</w:t>
      </w:r>
      <w:r w:rsidR="0037455A" w:rsidRPr="002A7319">
        <w:rPr>
          <w:rStyle w:val="lev"/>
          <w:b w:val="0"/>
          <w:sz w:val="22"/>
          <w:szCs w:val="22"/>
          <w:shd w:val="clear" w:color="auto" w:fill="FFFFFF"/>
          <w:lang w:val="en-GB"/>
        </w:rPr>
        <w:t xml:space="preserve"> (see the </w:t>
      </w:r>
      <w:r w:rsidR="0037455A" w:rsidRPr="002A7319">
        <w:rPr>
          <w:rStyle w:val="lev"/>
          <w:b w:val="0"/>
          <w:i/>
          <w:sz w:val="22"/>
          <w:szCs w:val="22"/>
          <w:shd w:val="clear" w:color="auto" w:fill="FFFFFF"/>
          <w:lang w:val="en-GB"/>
        </w:rPr>
        <w:t>habitus</w:t>
      </w:r>
      <w:r w:rsidR="0037455A" w:rsidRPr="002A7319">
        <w:rPr>
          <w:rStyle w:val="lev"/>
          <w:b w:val="0"/>
          <w:sz w:val="22"/>
          <w:szCs w:val="22"/>
          <w:shd w:val="clear" w:color="auto" w:fill="FFFFFF"/>
          <w:lang w:val="en-GB"/>
        </w:rPr>
        <w:t xml:space="preserve"> concept developed by Bourdieu, 1972), share social values</w:t>
      </w:r>
      <w:r w:rsidRPr="002A7319">
        <w:rPr>
          <w:bCs/>
          <w:sz w:val="22"/>
          <w:szCs w:val="22"/>
          <w:lang w:val="en-GB"/>
        </w:rPr>
        <w:t xml:space="preserve">. Many researchers suggest using threshold criteria related to standard of living (well-being) or income. Reference frameworks for the occupation may also be used. Last, the existence of a sense of belonging to the middle class, which also constitutes a social status, can be measured by surveys </w:t>
      </w:r>
      <w:r w:rsidRPr="002A7319">
        <w:rPr>
          <w:color w:val="323232"/>
          <w:sz w:val="22"/>
          <w:szCs w:val="22"/>
          <w:lang w:val="en-GB"/>
        </w:rPr>
        <w:t xml:space="preserve">(WVS. </w:t>
      </w:r>
      <w:r w:rsidRPr="002A7319">
        <w:rPr>
          <w:sz w:val="22"/>
          <w:szCs w:val="22"/>
          <w:shd w:val="clear" w:color="auto" w:fill="FFFFFF"/>
          <w:lang w:val="en-GB"/>
        </w:rPr>
        <w:t>2017-2022)</w:t>
      </w:r>
      <w:r w:rsidRPr="002A7319">
        <w:rPr>
          <w:sz w:val="22"/>
          <w:szCs w:val="22"/>
          <w:lang w:val="en-GB"/>
        </w:rPr>
        <w:t>.</w:t>
      </w:r>
    </w:p>
    <w:p w:rsidR="00E016E1" w:rsidRPr="002D2803" w:rsidRDefault="00E016E1" w:rsidP="00E016E1">
      <w:pPr>
        <w:spacing w:after="120"/>
        <w:jc w:val="both"/>
        <w:textAlignment w:val="baseline"/>
        <w:rPr>
          <w:color w:val="101010"/>
          <w:sz w:val="22"/>
          <w:szCs w:val="22"/>
          <w:lang w:val="en-GB"/>
        </w:rPr>
      </w:pPr>
      <w:r w:rsidRPr="002D2803">
        <w:rPr>
          <w:color w:val="101010"/>
          <w:sz w:val="22"/>
          <w:szCs w:val="22"/>
          <w:lang w:val="en-GB"/>
        </w:rPr>
        <w:t xml:space="preserve">Using a relative definition is relevant because </w:t>
      </w:r>
      <w:r w:rsidR="004E1C91" w:rsidRPr="002D2803">
        <w:rPr>
          <w:color w:val="101010"/>
          <w:sz w:val="22"/>
          <w:szCs w:val="22"/>
          <w:lang w:val="en-GB"/>
        </w:rPr>
        <w:t>individuals</w:t>
      </w:r>
      <w:r w:rsidRPr="002D2803">
        <w:rPr>
          <w:color w:val="101010"/>
          <w:sz w:val="22"/>
          <w:szCs w:val="22"/>
          <w:lang w:val="en-GB"/>
        </w:rPr>
        <w:t xml:space="preserve"> tend to evaluate their status not in absolute terms, but</w:t>
      </w:r>
      <w:r w:rsidR="004E1C91" w:rsidRPr="002D2803">
        <w:rPr>
          <w:color w:val="101010"/>
          <w:sz w:val="22"/>
          <w:szCs w:val="22"/>
          <w:lang w:val="en-GB"/>
        </w:rPr>
        <w:t xml:space="preserve"> </w:t>
      </w:r>
      <w:r w:rsidRPr="002D2803">
        <w:rPr>
          <w:iCs/>
          <w:color w:val="101010"/>
          <w:sz w:val="22"/>
          <w:szCs w:val="22"/>
          <w:bdr w:val="none" w:sz="0" w:space="0" w:color="auto" w:frame="1"/>
          <w:lang w:val="en-GB"/>
        </w:rPr>
        <w:t>relative to</w:t>
      </w:r>
      <w:r w:rsidR="004E1C91" w:rsidRPr="002D2803">
        <w:rPr>
          <w:iCs/>
          <w:color w:val="101010"/>
          <w:sz w:val="22"/>
          <w:szCs w:val="22"/>
          <w:bdr w:val="none" w:sz="0" w:space="0" w:color="auto" w:frame="1"/>
          <w:lang w:val="en-GB"/>
        </w:rPr>
        <w:t xml:space="preserve"> </w:t>
      </w:r>
      <w:r w:rsidRPr="002D2803">
        <w:rPr>
          <w:color w:val="101010"/>
          <w:sz w:val="22"/>
          <w:szCs w:val="22"/>
          <w:lang w:val="en-GB"/>
        </w:rPr>
        <w:t>those around them. One popular relative measure defines the middle class within boundaries around median income</w:t>
      </w:r>
      <w:r w:rsidR="0037455A">
        <w:rPr>
          <w:color w:val="101010"/>
          <w:lang w:val="en-GB"/>
        </w:rPr>
        <w:t xml:space="preserve"> </w:t>
      </w:r>
      <w:r w:rsidR="0037455A" w:rsidRPr="0037455A">
        <w:rPr>
          <w:color w:val="101010"/>
          <w:sz w:val="22"/>
          <w:szCs w:val="22"/>
          <w:lang w:val="en-GB"/>
        </w:rPr>
        <w:t>(Birdsall et al, 2000).</w:t>
      </w:r>
    </w:p>
    <w:p w:rsidR="00E016E1" w:rsidRPr="002D2803" w:rsidRDefault="00E016E1" w:rsidP="00E016E1">
      <w:pPr>
        <w:pStyle w:val="NormalWeb"/>
        <w:spacing w:before="0" w:beforeAutospacing="0" w:after="120" w:afterAutospacing="0"/>
        <w:jc w:val="both"/>
        <w:textAlignment w:val="baseline"/>
        <w:rPr>
          <w:color w:val="101010"/>
          <w:sz w:val="22"/>
          <w:szCs w:val="22"/>
          <w:lang w:val="en-GB"/>
        </w:rPr>
      </w:pPr>
      <w:r w:rsidRPr="002D2803">
        <w:rPr>
          <w:color w:val="101010"/>
          <w:sz w:val="22"/>
          <w:szCs w:val="22"/>
          <w:lang w:val="en-GB"/>
        </w:rPr>
        <w:t>Sociologists often see social class as defined by education or occupation. An advantage of the education versus the income criterion is that education tends to be constant throughout life. It is easier to classify educational credentials than to classify occupations in all sectors; job loss makes the occupation a variable. However, the value of educational credentials may erode, while benchmarking titles may change over time.</w:t>
      </w:r>
    </w:p>
    <w:p w:rsidR="00E016E1" w:rsidRPr="002D2803" w:rsidRDefault="00E016E1" w:rsidP="00E016E1">
      <w:pPr>
        <w:shd w:val="clear" w:color="auto" w:fill="FFFFFF"/>
        <w:spacing w:after="120"/>
        <w:jc w:val="both"/>
        <w:rPr>
          <w:sz w:val="22"/>
          <w:szCs w:val="22"/>
          <w:lang w:val="en-GB"/>
        </w:rPr>
      </w:pPr>
      <w:r w:rsidRPr="002D2803">
        <w:rPr>
          <w:sz w:val="22"/>
          <w:szCs w:val="22"/>
          <w:lang w:val="en-GB"/>
        </w:rPr>
        <w:t>Should the sector of employment, or the occupation within that sector, draw the line differentiating the middle class (white collars) from skilled manual workers (blue collars)? Hence, would only unskilled workers in the manufacturing industry, along with the rural peasantry, belong to the working class?</w:t>
      </w:r>
    </w:p>
    <w:p w:rsidR="00E016E1" w:rsidRPr="002D2803" w:rsidRDefault="00E016E1" w:rsidP="00E016E1">
      <w:pPr>
        <w:shd w:val="clear" w:color="auto" w:fill="FFFFFF"/>
        <w:spacing w:after="120"/>
        <w:jc w:val="both"/>
        <w:rPr>
          <w:rStyle w:val="auteur"/>
          <w:rFonts w:eastAsiaTheme="majorEastAsia"/>
          <w:bCs/>
          <w:sz w:val="22"/>
          <w:szCs w:val="22"/>
          <w:lang w:val="en-GB"/>
        </w:rPr>
      </w:pPr>
      <w:r w:rsidRPr="002D2803">
        <w:rPr>
          <w:rStyle w:val="auteur"/>
          <w:rFonts w:eastAsiaTheme="majorEastAsia"/>
          <w:bCs/>
          <w:sz w:val="22"/>
          <w:szCs w:val="22"/>
          <w:lang w:val="en-GB"/>
        </w:rPr>
        <w:t xml:space="preserve">World Bank Enterprise Surveys (WBES) collect data on managers' education, gender and age. Sampling is biased by the overweight of the manufacturing industry, and the </w:t>
      </w:r>
      <w:r w:rsidR="00A26BB7" w:rsidRPr="002D2803">
        <w:rPr>
          <w:rStyle w:val="auteur"/>
          <w:rFonts w:eastAsiaTheme="majorEastAsia"/>
          <w:bCs/>
          <w:sz w:val="22"/>
          <w:szCs w:val="22"/>
          <w:lang w:val="en-GB"/>
        </w:rPr>
        <w:t xml:space="preserve">weak representation of </w:t>
      </w:r>
      <w:r w:rsidRPr="002D2803">
        <w:rPr>
          <w:rStyle w:val="auteur"/>
          <w:rFonts w:eastAsiaTheme="majorEastAsia"/>
          <w:bCs/>
          <w:sz w:val="22"/>
          <w:szCs w:val="22"/>
          <w:lang w:val="en-GB"/>
        </w:rPr>
        <w:t>microenterprises (</w:t>
      </w:r>
      <w:proofErr w:type="spellStart"/>
      <w:r w:rsidRPr="002D2803">
        <w:rPr>
          <w:rStyle w:val="auteur"/>
          <w:rFonts w:eastAsiaTheme="majorEastAsia"/>
          <w:bCs/>
          <w:sz w:val="22"/>
          <w:szCs w:val="22"/>
          <w:lang w:val="en-GB"/>
        </w:rPr>
        <w:t>Berguiga</w:t>
      </w:r>
      <w:proofErr w:type="spellEnd"/>
      <w:r w:rsidRPr="002D2803">
        <w:rPr>
          <w:rStyle w:val="auteur"/>
          <w:rFonts w:eastAsiaTheme="majorEastAsia"/>
          <w:bCs/>
          <w:sz w:val="22"/>
          <w:szCs w:val="22"/>
          <w:lang w:val="en-GB"/>
        </w:rPr>
        <w:t xml:space="preserve"> &amp; Adair, 2019).</w:t>
      </w:r>
    </w:p>
    <w:p w:rsidR="00E016E1" w:rsidRPr="002D2803" w:rsidRDefault="00E016E1" w:rsidP="00E016E1">
      <w:pPr>
        <w:spacing w:after="120"/>
        <w:jc w:val="both"/>
        <w:rPr>
          <w:sz w:val="22"/>
          <w:szCs w:val="22"/>
          <w:lang w:val="en-GB"/>
        </w:rPr>
      </w:pPr>
      <w:r w:rsidRPr="002D2803">
        <w:rPr>
          <w:sz w:val="22"/>
          <w:szCs w:val="22"/>
          <w:lang w:val="en-GB"/>
        </w:rPr>
        <w:t xml:space="preserve">The shortage of survey data for analysing long term consumption patterns in the Middle East and North Africa (MENA) countries has been a major reason for relying on definitions that focus on political and professional affiliations, as drivers of the middle-class behaviour or for using the existing definitions of middle-class status for other regions. According to ESCWA (2014), adopting these definitions results in estimates of the </w:t>
      </w:r>
      <w:r w:rsidR="00A26BB7" w:rsidRPr="002D2803">
        <w:rPr>
          <w:sz w:val="22"/>
          <w:szCs w:val="22"/>
          <w:lang w:val="en-GB"/>
        </w:rPr>
        <w:t>MENA middle class, which</w:t>
      </w:r>
      <w:r w:rsidRPr="002D2803">
        <w:rPr>
          <w:sz w:val="22"/>
          <w:szCs w:val="22"/>
          <w:lang w:val="en-GB"/>
        </w:rPr>
        <w:t xml:space="preserve"> </w:t>
      </w:r>
      <w:r w:rsidR="00A26BB7" w:rsidRPr="002D2803">
        <w:rPr>
          <w:sz w:val="22"/>
          <w:szCs w:val="22"/>
          <w:lang w:val="en-GB"/>
        </w:rPr>
        <w:t>prove</w:t>
      </w:r>
      <w:r w:rsidRPr="002D2803">
        <w:rPr>
          <w:sz w:val="22"/>
          <w:szCs w:val="22"/>
          <w:lang w:val="en-GB"/>
        </w:rPr>
        <w:t xml:space="preserve"> either unreliably </w:t>
      </w:r>
      <w:r w:rsidR="00A26BB7" w:rsidRPr="002D2803">
        <w:rPr>
          <w:sz w:val="22"/>
          <w:szCs w:val="22"/>
          <w:lang w:val="en-GB"/>
        </w:rPr>
        <w:t xml:space="preserve">too </w:t>
      </w:r>
      <w:r w:rsidRPr="002D2803">
        <w:rPr>
          <w:sz w:val="22"/>
          <w:szCs w:val="22"/>
          <w:lang w:val="en-GB"/>
        </w:rPr>
        <w:t xml:space="preserve">small (under 5% of the population) or unreliably </w:t>
      </w:r>
      <w:r w:rsidR="00A26BB7" w:rsidRPr="002D2803">
        <w:rPr>
          <w:sz w:val="22"/>
          <w:szCs w:val="22"/>
          <w:lang w:val="en-GB"/>
        </w:rPr>
        <w:t xml:space="preserve">too </w:t>
      </w:r>
      <w:r w:rsidRPr="002D2803">
        <w:rPr>
          <w:sz w:val="22"/>
          <w:szCs w:val="22"/>
          <w:lang w:val="en-GB"/>
        </w:rPr>
        <w:t>large (more than three-quarters of the population).</w:t>
      </w:r>
    </w:p>
    <w:p w:rsidR="00E016E1" w:rsidRPr="002D2803" w:rsidRDefault="00E016E1" w:rsidP="00E016E1">
      <w:pPr>
        <w:spacing w:after="120"/>
        <w:jc w:val="both"/>
        <w:rPr>
          <w:sz w:val="22"/>
          <w:szCs w:val="22"/>
          <w:lang w:val="en-GB"/>
        </w:rPr>
      </w:pPr>
      <w:r w:rsidRPr="002D2803">
        <w:rPr>
          <w:sz w:val="22"/>
          <w:szCs w:val="22"/>
          <w:lang w:val="en-GB"/>
        </w:rPr>
        <w:t>PEW (2015) divides the population in each country into five groups based on a family’s daily per capita consumption or income: (</w:t>
      </w:r>
      <w:proofErr w:type="spellStart"/>
      <w:r w:rsidRPr="002D2803">
        <w:rPr>
          <w:sz w:val="22"/>
          <w:szCs w:val="22"/>
          <w:lang w:val="en-GB"/>
        </w:rPr>
        <w:t>i</w:t>
      </w:r>
      <w:proofErr w:type="spellEnd"/>
      <w:r w:rsidRPr="002D2803">
        <w:rPr>
          <w:sz w:val="22"/>
          <w:szCs w:val="22"/>
          <w:lang w:val="en-GB"/>
        </w:rPr>
        <w:t xml:space="preserve">) poor, (ii) low income, (iii) middle income, (iv) upper-middle income, and (v) high income. The four thresholds separating the respective income groups are $2, the minimum daily per capita income to exit poverty, $10, the threshold to attain middle-income status, $20 to enter the upper-middle income category and $50 to access high income. The thresholds are expressed in 2011 prices and 2011 purchasing power parities. See also the World Bank data </w:t>
      </w:r>
      <w:proofErr w:type="spellStart"/>
      <w:r w:rsidRPr="002D2803">
        <w:rPr>
          <w:sz w:val="22"/>
          <w:szCs w:val="22"/>
          <w:lang w:val="en-GB"/>
        </w:rPr>
        <w:t>catalog</w:t>
      </w:r>
      <w:proofErr w:type="spellEnd"/>
      <w:r w:rsidRPr="002D2803">
        <w:rPr>
          <w:sz w:val="22"/>
          <w:szCs w:val="22"/>
          <w:lang w:val="en-GB"/>
        </w:rPr>
        <w:t xml:space="preserve"> and </w:t>
      </w:r>
      <w:proofErr w:type="spellStart"/>
      <w:r w:rsidRPr="002D2803">
        <w:rPr>
          <w:sz w:val="22"/>
          <w:szCs w:val="22"/>
          <w:lang w:val="en-GB"/>
        </w:rPr>
        <w:t>Kharas</w:t>
      </w:r>
      <w:proofErr w:type="spellEnd"/>
      <w:r w:rsidRPr="002D2803">
        <w:rPr>
          <w:sz w:val="22"/>
          <w:szCs w:val="22"/>
          <w:lang w:val="en-GB"/>
        </w:rPr>
        <w:t xml:space="preserve"> (2010).</w:t>
      </w:r>
    </w:p>
    <w:p w:rsidR="00E016E1" w:rsidRPr="002D2803" w:rsidRDefault="00022E72" w:rsidP="00E016E1">
      <w:pPr>
        <w:spacing w:after="120"/>
        <w:jc w:val="both"/>
        <w:rPr>
          <w:color w:val="333333"/>
          <w:sz w:val="22"/>
          <w:szCs w:val="22"/>
          <w:lang w:val="en-GB"/>
        </w:rPr>
      </w:pPr>
      <w:hyperlink r:id="rId7" w:history="1">
        <w:r w:rsidR="00E016E1" w:rsidRPr="002D2803">
          <w:rPr>
            <w:rStyle w:val="Lienhypertexte"/>
            <w:bCs/>
            <w:color w:val="auto"/>
            <w:sz w:val="22"/>
            <w:szCs w:val="22"/>
            <w:u w:val="none"/>
            <w:lang w:val="en-GB"/>
          </w:rPr>
          <w:t>Dang</w:t>
        </w:r>
      </w:hyperlink>
      <w:r w:rsidR="00E016E1" w:rsidRPr="002D2803">
        <w:rPr>
          <w:sz w:val="22"/>
          <w:szCs w:val="22"/>
          <w:lang w:val="en-GB"/>
        </w:rPr>
        <w:t xml:space="preserve"> </w:t>
      </w:r>
      <w:r w:rsidR="00E016E1" w:rsidRPr="002D2803">
        <w:rPr>
          <w:bCs/>
          <w:sz w:val="22"/>
          <w:szCs w:val="22"/>
          <w:lang w:val="en-GB"/>
        </w:rPr>
        <w:t>and</w:t>
      </w:r>
      <w:r w:rsidR="00E016E1" w:rsidRPr="002D2803">
        <w:rPr>
          <w:kern w:val="36"/>
          <w:sz w:val="22"/>
          <w:szCs w:val="22"/>
          <w:lang w:val="en-GB"/>
        </w:rPr>
        <w:t xml:space="preserve"> </w:t>
      </w:r>
      <w:hyperlink r:id="rId8" w:history="1">
        <w:proofErr w:type="spellStart"/>
        <w:r w:rsidR="00E016E1" w:rsidRPr="002D2803">
          <w:rPr>
            <w:rStyle w:val="Lienhypertexte"/>
            <w:bCs/>
            <w:color w:val="auto"/>
            <w:sz w:val="22"/>
            <w:szCs w:val="22"/>
            <w:u w:val="none"/>
            <w:lang w:val="en-GB"/>
          </w:rPr>
          <w:t>Ianchovichina</w:t>
        </w:r>
        <w:proofErr w:type="spellEnd"/>
      </w:hyperlink>
      <w:r w:rsidR="00E016E1" w:rsidRPr="002D2803">
        <w:rPr>
          <w:kern w:val="36"/>
          <w:sz w:val="22"/>
          <w:szCs w:val="22"/>
          <w:lang w:val="en-GB"/>
        </w:rPr>
        <w:t xml:space="preserve"> (</w:t>
      </w:r>
      <w:r w:rsidR="00E016E1" w:rsidRPr="002D2803">
        <w:rPr>
          <w:bCs/>
          <w:caps/>
          <w:sz w:val="22"/>
          <w:szCs w:val="22"/>
          <w:lang w:val="en-GB"/>
        </w:rPr>
        <w:t xml:space="preserve">2016) </w:t>
      </w:r>
      <w:r w:rsidR="00E016E1" w:rsidRPr="002D2803">
        <w:rPr>
          <w:sz w:val="22"/>
          <w:szCs w:val="22"/>
          <w:lang w:val="en-GB"/>
        </w:rPr>
        <w:t>estimate the size of the middle class in Egypt, Jordan, Palestine and Tunisia using an absolute benchmark for income. M</w:t>
      </w:r>
      <w:r w:rsidR="00E016E1" w:rsidRPr="002D2803">
        <w:rPr>
          <w:color w:val="333333"/>
          <w:sz w:val="22"/>
          <w:szCs w:val="22"/>
          <w:lang w:val="en-GB"/>
        </w:rPr>
        <w:t xml:space="preserve">iddle-class status is assigned to people with income </w:t>
      </w:r>
      <w:r w:rsidR="00A26BB7" w:rsidRPr="002D2803">
        <w:rPr>
          <w:color w:val="333333"/>
          <w:sz w:val="22"/>
          <w:szCs w:val="22"/>
          <w:lang w:val="en-GB"/>
        </w:rPr>
        <w:t>above</w:t>
      </w:r>
      <w:r w:rsidR="00E016E1" w:rsidRPr="002D2803">
        <w:rPr>
          <w:color w:val="333333"/>
          <w:sz w:val="22"/>
          <w:szCs w:val="22"/>
          <w:lang w:val="en-GB"/>
        </w:rPr>
        <w:t xml:space="preserve"> a vulnerability line (i.e. the probability of falling into poverty over the 2005-2010 period) at $4.9 per day per person in 2005 terms. The growth of the middle class was strong in Tunisia, </w:t>
      </w:r>
      <w:r w:rsidR="00A26BB7" w:rsidRPr="002D2803">
        <w:rPr>
          <w:color w:val="333333"/>
          <w:sz w:val="22"/>
          <w:szCs w:val="22"/>
          <w:lang w:val="en-GB"/>
        </w:rPr>
        <w:t>whereas</w:t>
      </w:r>
      <w:r w:rsidR="00E016E1" w:rsidRPr="002D2803">
        <w:rPr>
          <w:color w:val="333333"/>
          <w:sz w:val="22"/>
          <w:szCs w:val="22"/>
          <w:lang w:val="en-GB"/>
        </w:rPr>
        <w:t xml:space="preserve"> middle-class dynamics were negative for </w:t>
      </w:r>
      <w:hyperlink r:id="rId9" w:tgtFrame="_blank" w:history="1">
        <w:r w:rsidR="00E016E1" w:rsidRPr="002D2803">
          <w:rPr>
            <w:color w:val="333333"/>
            <w:sz w:val="22"/>
            <w:szCs w:val="22"/>
            <w:lang w:val="en-GB"/>
          </w:rPr>
          <w:t>Egypt, wherein the size declined substantially, and</w:t>
        </w:r>
      </w:hyperlink>
      <w:r w:rsidR="00E016E1" w:rsidRPr="002D2803">
        <w:rPr>
          <w:sz w:val="22"/>
          <w:szCs w:val="22"/>
          <w:lang w:val="en-GB"/>
        </w:rPr>
        <w:t xml:space="preserve"> </w:t>
      </w:r>
      <w:r w:rsidR="00E016E1" w:rsidRPr="002D2803">
        <w:rPr>
          <w:color w:val="333333"/>
          <w:sz w:val="22"/>
          <w:szCs w:val="22"/>
          <w:lang w:val="en-GB"/>
        </w:rPr>
        <w:t>the size of the middle class</w:t>
      </w:r>
      <w:r w:rsidR="00A26BB7" w:rsidRPr="002D2803">
        <w:rPr>
          <w:color w:val="333333"/>
          <w:sz w:val="22"/>
          <w:szCs w:val="22"/>
          <w:lang w:val="en-GB"/>
        </w:rPr>
        <w:t xml:space="preserve"> experienced no change in Jordan</w:t>
      </w:r>
      <w:r w:rsidR="00E016E1" w:rsidRPr="002D2803">
        <w:rPr>
          <w:color w:val="333333"/>
          <w:sz w:val="22"/>
          <w:szCs w:val="22"/>
          <w:lang w:val="en-GB"/>
        </w:rPr>
        <w:t>.</w:t>
      </w:r>
    </w:p>
    <w:p w:rsidR="00E016E1" w:rsidRPr="002D2803" w:rsidRDefault="00E016E1" w:rsidP="00E016E1">
      <w:pPr>
        <w:spacing w:after="120"/>
        <w:jc w:val="both"/>
        <w:rPr>
          <w:b/>
          <w:color w:val="333333"/>
          <w:sz w:val="22"/>
          <w:szCs w:val="22"/>
          <w:lang w:val="en-GB"/>
        </w:rPr>
      </w:pPr>
      <w:r w:rsidRPr="002D2803">
        <w:rPr>
          <w:b/>
          <w:color w:val="333333"/>
          <w:sz w:val="22"/>
          <w:szCs w:val="22"/>
          <w:lang w:val="en-GB"/>
        </w:rPr>
        <w:t>The diversity of approaches to social dynamics.</w:t>
      </w:r>
    </w:p>
    <w:p w:rsidR="00E016E1" w:rsidRPr="002D2803" w:rsidRDefault="00E016E1" w:rsidP="00E016E1">
      <w:pPr>
        <w:jc w:val="both"/>
        <w:rPr>
          <w:sz w:val="22"/>
          <w:szCs w:val="22"/>
          <w:lang w:val="en-GB"/>
        </w:rPr>
      </w:pPr>
      <w:r w:rsidRPr="002D2803">
        <w:rPr>
          <w:sz w:val="22"/>
          <w:szCs w:val="22"/>
          <w:lang w:val="en-GB"/>
        </w:rPr>
        <w:t>Studies of social mobility in developing countries have started to emerge (</w:t>
      </w:r>
      <w:proofErr w:type="spellStart"/>
      <w:r w:rsidRPr="002D2803">
        <w:rPr>
          <w:sz w:val="22"/>
          <w:szCs w:val="22"/>
          <w:lang w:val="en-GB"/>
        </w:rPr>
        <w:t>Alesina</w:t>
      </w:r>
      <w:proofErr w:type="spellEnd"/>
      <w:r w:rsidRPr="002D2803">
        <w:rPr>
          <w:sz w:val="22"/>
          <w:szCs w:val="22"/>
          <w:lang w:val="en-GB"/>
        </w:rPr>
        <w:t xml:space="preserve"> et al. 2021).</w:t>
      </w:r>
    </w:p>
    <w:p w:rsidR="00E016E1" w:rsidRPr="002D2803" w:rsidRDefault="00E016E1" w:rsidP="00E016E1">
      <w:pPr>
        <w:spacing w:after="120" w:line="259" w:lineRule="auto"/>
        <w:jc w:val="both"/>
        <w:textAlignment w:val="top"/>
        <w:rPr>
          <w:sz w:val="22"/>
          <w:szCs w:val="22"/>
          <w:lang w:val="en-GB"/>
        </w:rPr>
      </w:pPr>
      <w:r w:rsidRPr="002D2803">
        <w:rPr>
          <w:bCs/>
          <w:color w:val="000000"/>
          <w:sz w:val="22"/>
          <w:szCs w:val="22"/>
          <w:lang w:val="en-GB"/>
        </w:rPr>
        <w:t>Iversen et al. (</w:t>
      </w:r>
      <w:r w:rsidRPr="002D2803">
        <w:rPr>
          <w:color w:val="000000"/>
          <w:sz w:val="22"/>
          <w:szCs w:val="22"/>
          <w:lang w:val="en-GB"/>
        </w:rPr>
        <w:t>2021) point out that m</w:t>
      </w:r>
      <w:r w:rsidRPr="002D2803">
        <w:rPr>
          <w:sz w:val="22"/>
          <w:szCs w:val="22"/>
          <w:lang w:val="en-GB"/>
        </w:rPr>
        <w:t>obility estimates often differ greatly, even for the same country, depending on the concept and measure of mobility used, the dataset utilized, and on whether income, education, or occupational status is the relevant metric of achievement.</w:t>
      </w:r>
    </w:p>
    <w:p w:rsidR="00E016E1" w:rsidRPr="002D2803" w:rsidRDefault="00E016E1" w:rsidP="00E016E1">
      <w:pPr>
        <w:spacing w:after="120"/>
        <w:jc w:val="both"/>
        <w:rPr>
          <w:sz w:val="22"/>
          <w:szCs w:val="22"/>
          <w:lang w:val="en-GB"/>
        </w:rPr>
      </w:pPr>
      <w:r w:rsidRPr="002D2803">
        <w:rPr>
          <w:sz w:val="22"/>
          <w:szCs w:val="22"/>
          <w:lang w:val="en-GB"/>
        </w:rPr>
        <w:t xml:space="preserve">Sociologists and historians favour analyses of changes in class or occupational status, despite the limitations of the </w:t>
      </w:r>
      <w:r w:rsidRPr="002D2803">
        <w:rPr>
          <w:sz w:val="22"/>
          <w:szCs w:val="22"/>
          <w:shd w:val="clear" w:color="auto" w:fill="FFFFFF"/>
          <w:lang w:val="en-GB"/>
        </w:rPr>
        <w:t>International Standard Classification of Occupations</w:t>
      </w:r>
      <w:r w:rsidRPr="002D2803">
        <w:rPr>
          <w:sz w:val="22"/>
          <w:szCs w:val="22"/>
          <w:lang w:val="en-GB"/>
        </w:rPr>
        <w:t xml:space="preserve"> -ISCO (ILO). Consumption is </w:t>
      </w:r>
      <w:r w:rsidRPr="002D2803">
        <w:rPr>
          <w:sz w:val="22"/>
          <w:szCs w:val="22"/>
          <w:lang w:val="en-GB"/>
        </w:rPr>
        <w:lastRenderedPageBreak/>
        <w:t>also a differentiating criterion. According to Bourdieu (1984), the middle classes imitate the consumption of the upper class; an echo to the struggle between the new bourgeoisie (private sector executives, liberal professions) and the traditional bourgeoisie (business owners). The upper class tends to stand out, as did Veblen’s leisure class (1899).</w:t>
      </w:r>
    </w:p>
    <w:p w:rsidR="00E016E1" w:rsidRPr="002D2803" w:rsidRDefault="00E016E1" w:rsidP="00E016E1">
      <w:pPr>
        <w:spacing w:after="120"/>
        <w:jc w:val="both"/>
        <w:rPr>
          <w:sz w:val="22"/>
          <w:szCs w:val="22"/>
          <w:lang w:val="en-GB"/>
        </w:rPr>
      </w:pPr>
      <w:r w:rsidRPr="002D2803">
        <w:rPr>
          <w:sz w:val="22"/>
          <w:szCs w:val="22"/>
          <w:lang w:val="en-GB"/>
        </w:rPr>
        <w:t>Economists have focused upon the study of income or earnings mobility, often following Becker and Tomes (1979), who assume the role of parental investment in human capital and inherited family attributes in generating mobility. However, other factors such as labour market segmentation and credit constraints not included in the Becker-Tomes model may be important in developing country contexts. Relatively few advances have been made in the identification of factors that drive the high levels of intergenerational persistence observed in developing countries, wherein there is limited availability of granular and nationally representative panels and other datasets and of reliable official records such as annual income tax returns.</w:t>
      </w:r>
    </w:p>
    <w:p w:rsidR="00E016E1" w:rsidRPr="002D2803" w:rsidRDefault="00E016E1" w:rsidP="00E016E1">
      <w:pPr>
        <w:jc w:val="both"/>
        <w:rPr>
          <w:sz w:val="22"/>
          <w:szCs w:val="22"/>
          <w:lang w:val="en-GB"/>
        </w:rPr>
      </w:pPr>
      <w:r w:rsidRPr="002D2803">
        <w:rPr>
          <w:sz w:val="22"/>
          <w:szCs w:val="22"/>
          <w:lang w:val="en-GB"/>
        </w:rPr>
        <w:t>The change in focus from the study of inequality of outcomes to intergenerational mobility marks the shift from static to dynamic analysis.</w:t>
      </w:r>
    </w:p>
    <w:p w:rsidR="00E016E1" w:rsidRPr="002D2803" w:rsidRDefault="00E016E1" w:rsidP="00E016E1">
      <w:pPr>
        <w:jc w:val="both"/>
        <w:rPr>
          <w:sz w:val="22"/>
          <w:szCs w:val="22"/>
          <w:lang w:val="en-GB"/>
        </w:rPr>
      </w:pPr>
      <w:r w:rsidRPr="002D2803">
        <w:rPr>
          <w:sz w:val="22"/>
          <w:szCs w:val="22"/>
          <w:lang w:val="en-GB"/>
        </w:rPr>
        <w:t>Apart from Egypt, relative and absolute analysis of intergenerational occupational mobility in the MENA region has been little tackled.</w:t>
      </w:r>
    </w:p>
    <w:p w:rsidR="00E016E1" w:rsidRPr="002D2803" w:rsidRDefault="00E016E1" w:rsidP="00E016E1">
      <w:pPr>
        <w:spacing w:after="120"/>
        <w:jc w:val="both"/>
        <w:rPr>
          <w:sz w:val="22"/>
          <w:szCs w:val="22"/>
          <w:lang w:val="en-GB"/>
        </w:rPr>
      </w:pPr>
      <w:r w:rsidRPr="002D2803">
        <w:rPr>
          <w:sz w:val="22"/>
          <w:szCs w:val="22"/>
          <w:lang w:val="en-GB"/>
        </w:rPr>
        <w:t xml:space="preserve">A comparative analysis can take advantage of the </w:t>
      </w:r>
      <w:r w:rsidR="00A26BB7" w:rsidRPr="002D2803">
        <w:rPr>
          <w:sz w:val="22"/>
          <w:szCs w:val="22"/>
          <w:lang w:val="en-GB"/>
        </w:rPr>
        <w:t>‘</w:t>
      </w:r>
      <w:r w:rsidRPr="002D2803">
        <w:rPr>
          <w:sz w:val="22"/>
          <w:szCs w:val="22"/>
          <w:lang w:val="en-GB"/>
        </w:rPr>
        <w:t>Great Gatsby Curve</w:t>
      </w:r>
      <w:r w:rsidR="00A26BB7" w:rsidRPr="002D2803">
        <w:rPr>
          <w:sz w:val="22"/>
          <w:szCs w:val="22"/>
          <w:lang w:val="en-GB"/>
        </w:rPr>
        <w:t>’</w:t>
      </w:r>
      <w:r w:rsidRPr="002D2803">
        <w:rPr>
          <w:sz w:val="22"/>
          <w:szCs w:val="22"/>
          <w:lang w:val="en-GB"/>
        </w:rPr>
        <w:t xml:space="preserve"> (</w:t>
      </w:r>
      <w:proofErr w:type="spellStart"/>
      <w:r w:rsidRPr="002D2803">
        <w:rPr>
          <w:sz w:val="22"/>
          <w:szCs w:val="22"/>
          <w:lang w:val="en-GB"/>
        </w:rPr>
        <w:t>Durlauf</w:t>
      </w:r>
      <w:proofErr w:type="spellEnd"/>
      <w:r w:rsidRPr="002D2803">
        <w:rPr>
          <w:sz w:val="22"/>
          <w:szCs w:val="22"/>
          <w:lang w:val="en-GB"/>
        </w:rPr>
        <w:t xml:space="preserve"> et al, 2022), wherein the vertical axis plots in the rate of social mobility as measured by the intergenerational earnings elasticity (IGE). The horizontal axis records income inequality measured by the Gini coefficient. Countries with greater inequality of incomes also tend to be countries with lower social mobility.</w:t>
      </w:r>
    </w:p>
    <w:p w:rsidR="00E016E1" w:rsidRPr="002A5969" w:rsidRDefault="00E016E1" w:rsidP="00E016E1">
      <w:pPr>
        <w:spacing w:after="120"/>
        <w:rPr>
          <w:b/>
          <w:lang w:val="en-GB"/>
        </w:rPr>
      </w:pPr>
      <w:r w:rsidRPr="002A5969">
        <w:rPr>
          <w:b/>
          <w:lang w:val="en-GB"/>
        </w:rPr>
        <w:t>References</w:t>
      </w:r>
    </w:p>
    <w:p w:rsidR="00C5733A" w:rsidRPr="00367B3C" w:rsidRDefault="00C5733A" w:rsidP="00C5733A">
      <w:pPr>
        <w:ind w:left="284" w:hanging="284"/>
        <w:jc w:val="both"/>
        <w:rPr>
          <w:sz w:val="22"/>
          <w:szCs w:val="22"/>
          <w:lang w:val="en-GB"/>
        </w:rPr>
      </w:pPr>
      <w:proofErr w:type="spellStart"/>
      <w:r w:rsidRPr="00CF0968">
        <w:rPr>
          <w:sz w:val="22"/>
          <w:szCs w:val="22"/>
          <w:lang w:val="en-GB"/>
        </w:rPr>
        <w:t>Alesina</w:t>
      </w:r>
      <w:proofErr w:type="spellEnd"/>
      <w:r w:rsidRPr="00CF0968">
        <w:rPr>
          <w:sz w:val="22"/>
          <w:szCs w:val="22"/>
          <w:lang w:val="en-GB"/>
        </w:rPr>
        <w:t xml:space="preserve">, A., Hohmann, S. </w:t>
      </w:r>
      <w:proofErr w:type="spellStart"/>
      <w:r w:rsidRPr="00CF0968">
        <w:rPr>
          <w:sz w:val="22"/>
          <w:szCs w:val="22"/>
          <w:lang w:val="en-GB"/>
        </w:rPr>
        <w:t>Michaloupoulos</w:t>
      </w:r>
      <w:proofErr w:type="spellEnd"/>
      <w:r w:rsidRPr="00CF0968">
        <w:rPr>
          <w:sz w:val="22"/>
          <w:szCs w:val="22"/>
          <w:lang w:val="en-GB"/>
        </w:rPr>
        <w:t xml:space="preserve">, S. &amp; </w:t>
      </w:r>
      <w:proofErr w:type="spellStart"/>
      <w:r w:rsidRPr="00CF0968">
        <w:rPr>
          <w:sz w:val="22"/>
          <w:szCs w:val="22"/>
          <w:lang w:val="en-GB"/>
        </w:rPr>
        <w:t>Papaioannou</w:t>
      </w:r>
      <w:proofErr w:type="spellEnd"/>
      <w:r w:rsidRPr="00CF0968">
        <w:rPr>
          <w:sz w:val="22"/>
          <w:szCs w:val="22"/>
          <w:lang w:val="en-GB"/>
        </w:rPr>
        <w:t xml:space="preserve">, E. (2021). </w:t>
      </w:r>
      <w:r w:rsidRPr="00367B3C">
        <w:rPr>
          <w:sz w:val="22"/>
          <w:szCs w:val="22"/>
          <w:lang w:val="en-GB"/>
        </w:rPr>
        <w:t xml:space="preserve">Intergenerational Mobility in Africa. </w:t>
      </w:r>
      <w:proofErr w:type="spellStart"/>
      <w:r w:rsidRPr="00367B3C">
        <w:rPr>
          <w:i/>
          <w:sz w:val="22"/>
          <w:szCs w:val="22"/>
          <w:lang w:val="en-GB"/>
        </w:rPr>
        <w:t>Econometrica</w:t>
      </w:r>
      <w:proofErr w:type="spellEnd"/>
      <w:r w:rsidRPr="00367B3C">
        <w:rPr>
          <w:i/>
          <w:sz w:val="22"/>
          <w:szCs w:val="22"/>
          <w:lang w:val="en-GB"/>
        </w:rPr>
        <w:t>,</w:t>
      </w:r>
      <w:r w:rsidRPr="00367B3C">
        <w:rPr>
          <w:sz w:val="22"/>
          <w:szCs w:val="22"/>
          <w:lang w:val="en-GB"/>
        </w:rPr>
        <w:t xml:space="preserve"> 89(1): 1–35.</w:t>
      </w:r>
    </w:p>
    <w:p w:rsidR="00C5733A" w:rsidRPr="00367B3C" w:rsidRDefault="00C5733A" w:rsidP="00C5733A">
      <w:pPr>
        <w:ind w:left="284" w:hanging="284"/>
        <w:jc w:val="both"/>
        <w:rPr>
          <w:sz w:val="22"/>
          <w:szCs w:val="22"/>
          <w:lang w:val="en-GB"/>
        </w:rPr>
      </w:pPr>
      <w:bookmarkStart w:id="0" w:name="_Hlk125989804"/>
      <w:r w:rsidRPr="00367B3C">
        <w:rPr>
          <w:sz w:val="22"/>
          <w:szCs w:val="22"/>
          <w:lang w:val="en-GB"/>
        </w:rPr>
        <w:t xml:space="preserve">Banerjee, A. &amp; </w:t>
      </w:r>
      <w:proofErr w:type="spellStart"/>
      <w:r w:rsidRPr="00367B3C">
        <w:rPr>
          <w:sz w:val="22"/>
          <w:szCs w:val="22"/>
          <w:lang w:val="en-GB"/>
        </w:rPr>
        <w:t>Duflo</w:t>
      </w:r>
      <w:proofErr w:type="spellEnd"/>
      <w:r w:rsidRPr="00367B3C">
        <w:rPr>
          <w:sz w:val="22"/>
          <w:szCs w:val="22"/>
          <w:lang w:val="en-GB"/>
        </w:rPr>
        <w:t xml:space="preserve">, E. (2008). What Is Middle Class about the </w:t>
      </w:r>
      <w:r w:rsidR="0037455A">
        <w:rPr>
          <w:sz w:val="22"/>
          <w:szCs w:val="22"/>
          <w:lang w:val="en-GB"/>
        </w:rPr>
        <w:t>Middle Classes around the World</w:t>
      </w:r>
      <w:r w:rsidRPr="00367B3C">
        <w:rPr>
          <w:sz w:val="22"/>
          <w:szCs w:val="22"/>
          <w:lang w:val="en-GB"/>
        </w:rPr>
        <w:t xml:space="preserve">? </w:t>
      </w:r>
      <w:r w:rsidRPr="00367B3C">
        <w:rPr>
          <w:i/>
          <w:sz w:val="22"/>
          <w:szCs w:val="22"/>
          <w:lang w:val="en-GB"/>
        </w:rPr>
        <w:t>Journal of Economic Perspective</w:t>
      </w:r>
      <w:r w:rsidRPr="00367B3C">
        <w:rPr>
          <w:sz w:val="22"/>
          <w:szCs w:val="22"/>
          <w:lang w:val="en-GB"/>
        </w:rPr>
        <w:t>, 22(2): 3-28.</w:t>
      </w:r>
    </w:p>
    <w:bookmarkEnd w:id="0"/>
    <w:p w:rsidR="00C5733A" w:rsidRPr="00367B3C" w:rsidRDefault="00C5733A" w:rsidP="00C5733A">
      <w:pPr>
        <w:ind w:left="284" w:hanging="284"/>
        <w:jc w:val="both"/>
        <w:rPr>
          <w:sz w:val="22"/>
          <w:szCs w:val="22"/>
          <w:lang w:val="en-GB"/>
        </w:rPr>
      </w:pPr>
      <w:r w:rsidRPr="00367B3C">
        <w:rPr>
          <w:sz w:val="22"/>
          <w:szCs w:val="22"/>
          <w:lang w:val="en-GB"/>
        </w:rPr>
        <w:t xml:space="preserve">Becker, G. S., &amp; N. Tomes (1979). An Equilibrium Theory of the Distribution of Income and Intergenerational Mobility. </w:t>
      </w:r>
      <w:r w:rsidRPr="00367B3C">
        <w:rPr>
          <w:i/>
          <w:sz w:val="22"/>
          <w:szCs w:val="22"/>
          <w:lang w:val="en-GB"/>
        </w:rPr>
        <w:t>Journal of Political Economy</w:t>
      </w:r>
      <w:r w:rsidRPr="00367B3C">
        <w:rPr>
          <w:sz w:val="22"/>
          <w:szCs w:val="22"/>
          <w:lang w:val="en-GB"/>
        </w:rPr>
        <w:t>, 87(6): 1153–89.</w:t>
      </w:r>
    </w:p>
    <w:p w:rsidR="00C5733A" w:rsidRPr="00367B3C" w:rsidRDefault="00C5733A" w:rsidP="00C5733A">
      <w:pPr>
        <w:ind w:left="284" w:hanging="284"/>
        <w:jc w:val="both"/>
        <w:rPr>
          <w:sz w:val="22"/>
          <w:szCs w:val="22"/>
          <w:lang w:val="en-US"/>
        </w:rPr>
      </w:pPr>
      <w:proofErr w:type="spellStart"/>
      <w:r w:rsidRPr="00367B3C">
        <w:rPr>
          <w:rStyle w:val="auteur"/>
          <w:bCs/>
          <w:sz w:val="22"/>
          <w:szCs w:val="22"/>
          <w:lang w:val="en-GB"/>
        </w:rPr>
        <w:t>Berguiga</w:t>
      </w:r>
      <w:proofErr w:type="spellEnd"/>
      <w:r w:rsidRPr="00367B3C">
        <w:rPr>
          <w:rStyle w:val="auteur"/>
          <w:bCs/>
          <w:sz w:val="22"/>
          <w:szCs w:val="22"/>
          <w:lang w:val="en-GB"/>
        </w:rPr>
        <w:t>, I. &amp; Adair, P. (2019).</w:t>
      </w:r>
      <w:r w:rsidRPr="00367B3C">
        <w:rPr>
          <w:color w:val="222222"/>
          <w:sz w:val="22"/>
          <w:szCs w:val="22"/>
          <w:lang w:val="en-GB" w:eastAsia="en-GB"/>
        </w:rPr>
        <w:t xml:space="preserve"> Funding Micro-Small and Medium size Enterprises in North Africa: Is there a mismatch between demand and supply</w:t>
      </w:r>
      <w:r w:rsidRPr="00367B3C">
        <w:rPr>
          <w:sz w:val="22"/>
          <w:szCs w:val="22"/>
          <w:lang w:val="en-US"/>
        </w:rPr>
        <w:t xml:space="preserve">? </w:t>
      </w:r>
      <w:r w:rsidRPr="00367B3C">
        <w:rPr>
          <w:i/>
          <w:sz w:val="22"/>
          <w:szCs w:val="22"/>
          <w:lang w:val="en-US"/>
        </w:rPr>
        <w:t>Economic Research Forum working papers series</w:t>
      </w:r>
      <w:r w:rsidRPr="00367B3C">
        <w:rPr>
          <w:sz w:val="22"/>
          <w:szCs w:val="22"/>
          <w:lang w:val="en-US"/>
        </w:rPr>
        <w:t xml:space="preserve"> 1350, Cairo, Egypt. </w:t>
      </w:r>
    </w:p>
    <w:p w:rsidR="00C5733A" w:rsidRPr="00367B3C" w:rsidRDefault="00C5733A" w:rsidP="00C5733A">
      <w:pPr>
        <w:ind w:left="284" w:hanging="284"/>
        <w:jc w:val="both"/>
        <w:rPr>
          <w:sz w:val="22"/>
          <w:szCs w:val="22"/>
        </w:rPr>
      </w:pPr>
      <w:bookmarkStart w:id="1" w:name="_Hlk125989834"/>
      <w:r w:rsidRPr="00367B3C">
        <w:rPr>
          <w:sz w:val="22"/>
          <w:szCs w:val="22"/>
          <w:lang w:val="en-GB"/>
        </w:rPr>
        <w:t xml:space="preserve">Birdsall, N., Graham, C., &amp; </w:t>
      </w:r>
      <w:proofErr w:type="spellStart"/>
      <w:r w:rsidRPr="00367B3C">
        <w:rPr>
          <w:sz w:val="22"/>
          <w:szCs w:val="22"/>
          <w:lang w:val="en-GB"/>
        </w:rPr>
        <w:t>Pettinato</w:t>
      </w:r>
      <w:proofErr w:type="spellEnd"/>
      <w:r w:rsidRPr="00367B3C">
        <w:rPr>
          <w:sz w:val="22"/>
          <w:szCs w:val="22"/>
          <w:lang w:val="en-GB"/>
        </w:rPr>
        <w:t xml:space="preserve">, S. (2000) Stuck in </w:t>
      </w:r>
      <w:proofErr w:type="gramStart"/>
      <w:r w:rsidRPr="00367B3C">
        <w:rPr>
          <w:sz w:val="22"/>
          <w:szCs w:val="22"/>
          <w:lang w:val="en-GB"/>
        </w:rPr>
        <w:t>tunnel :</w:t>
      </w:r>
      <w:proofErr w:type="gramEnd"/>
      <w:r w:rsidRPr="00367B3C">
        <w:rPr>
          <w:sz w:val="22"/>
          <w:szCs w:val="22"/>
          <w:lang w:val="en-GB"/>
        </w:rPr>
        <w:t xml:space="preserve"> Is globalization muddling the middle ? </w:t>
      </w:r>
      <w:r w:rsidRPr="00367B3C">
        <w:rPr>
          <w:i/>
          <w:sz w:val="22"/>
          <w:szCs w:val="22"/>
        </w:rPr>
        <w:t xml:space="preserve">Brookings Institution </w:t>
      </w:r>
      <w:proofErr w:type="spellStart"/>
      <w:r w:rsidRPr="00367B3C">
        <w:rPr>
          <w:i/>
          <w:sz w:val="22"/>
          <w:szCs w:val="22"/>
        </w:rPr>
        <w:t>Working</w:t>
      </w:r>
      <w:proofErr w:type="spellEnd"/>
      <w:r w:rsidRPr="00367B3C">
        <w:rPr>
          <w:i/>
          <w:sz w:val="22"/>
          <w:szCs w:val="22"/>
        </w:rPr>
        <w:t xml:space="preserve"> Paper</w:t>
      </w:r>
      <w:r w:rsidRPr="00367B3C">
        <w:rPr>
          <w:sz w:val="22"/>
          <w:szCs w:val="22"/>
        </w:rPr>
        <w:t>, n° 14, Washington DC.</w:t>
      </w:r>
    </w:p>
    <w:p w:rsidR="00C5733A" w:rsidRPr="00367B3C" w:rsidRDefault="00C5733A" w:rsidP="00C5733A">
      <w:pPr>
        <w:ind w:left="284" w:hanging="284"/>
        <w:jc w:val="both"/>
        <w:rPr>
          <w:sz w:val="22"/>
          <w:szCs w:val="22"/>
        </w:rPr>
      </w:pPr>
      <w:r w:rsidRPr="00367B3C">
        <w:rPr>
          <w:sz w:val="22"/>
          <w:szCs w:val="22"/>
        </w:rPr>
        <w:t xml:space="preserve">Bourdieu, P. (1972). </w:t>
      </w:r>
      <w:r w:rsidRPr="00367B3C">
        <w:rPr>
          <w:i/>
          <w:sz w:val="22"/>
          <w:szCs w:val="22"/>
        </w:rPr>
        <w:t>Esquisse d'une théorie de la pratique</w:t>
      </w:r>
      <w:r w:rsidRPr="00367B3C">
        <w:rPr>
          <w:sz w:val="22"/>
          <w:szCs w:val="22"/>
        </w:rPr>
        <w:t>. Genève: Librairie Droz.</w:t>
      </w:r>
    </w:p>
    <w:bookmarkEnd w:id="1"/>
    <w:p w:rsidR="00C5733A" w:rsidRPr="00C5733A" w:rsidRDefault="00C5733A" w:rsidP="00C5733A">
      <w:pPr>
        <w:ind w:left="284" w:hanging="284"/>
        <w:jc w:val="both"/>
        <w:rPr>
          <w:color w:val="000000"/>
          <w:sz w:val="22"/>
          <w:szCs w:val="22"/>
        </w:rPr>
      </w:pPr>
      <w:r w:rsidRPr="00367B3C">
        <w:rPr>
          <w:color w:val="000000"/>
          <w:sz w:val="22"/>
          <w:szCs w:val="22"/>
        </w:rPr>
        <w:t xml:space="preserve">Bourdieu, P. (1979). </w:t>
      </w:r>
      <w:r w:rsidRPr="00367B3C">
        <w:rPr>
          <w:i/>
          <w:iCs/>
          <w:color w:val="000000"/>
          <w:sz w:val="22"/>
          <w:szCs w:val="22"/>
        </w:rPr>
        <w:t>La Distinction. Critique sociale du jugement</w:t>
      </w:r>
      <w:r w:rsidRPr="00367B3C">
        <w:rPr>
          <w:color w:val="000000"/>
          <w:sz w:val="22"/>
          <w:szCs w:val="22"/>
        </w:rPr>
        <w:t xml:space="preserve">. </w:t>
      </w:r>
      <w:r w:rsidRPr="00C5733A">
        <w:rPr>
          <w:color w:val="000000"/>
          <w:sz w:val="22"/>
          <w:szCs w:val="22"/>
        </w:rPr>
        <w:t>Paris : Minuit.</w:t>
      </w:r>
    </w:p>
    <w:p w:rsidR="00C5733A" w:rsidRPr="00367B3C" w:rsidRDefault="00C5733A" w:rsidP="00C5733A">
      <w:pPr>
        <w:ind w:left="284" w:hanging="284"/>
        <w:jc w:val="both"/>
        <w:rPr>
          <w:sz w:val="22"/>
          <w:szCs w:val="22"/>
          <w:lang w:val="en-GB"/>
        </w:rPr>
      </w:pPr>
      <w:bookmarkStart w:id="2" w:name="_Hlk125989894"/>
      <w:r w:rsidRPr="00367B3C">
        <w:rPr>
          <w:sz w:val="22"/>
          <w:szCs w:val="22"/>
        </w:rPr>
        <w:t xml:space="preserve">Clément, M., Rougier, E., </w:t>
      </w:r>
      <w:proofErr w:type="spellStart"/>
      <w:r w:rsidRPr="00367B3C">
        <w:rPr>
          <w:sz w:val="22"/>
          <w:szCs w:val="22"/>
        </w:rPr>
        <w:t>Berrou</w:t>
      </w:r>
      <w:proofErr w:type="spellEnd"/>
      <w:r w:rsidRPr="00367B3C">
        <w:rPr>
          <w:sz w:val="22"/>
          <w:szCs w:val="22"/>
        </w:rPr>
        <w:t xml:space="preserve">, J.P., </w:t>
      </w:r>
      <w:proofErr w:type="spellStart"/>
      <w:r w:rsidRPr="00367B3C">
        <w:rPr>
          <w:sz w:val="22"/>
          <w:szCs w:val="22"/>
        </w:rPr>
        <w:t>Combarnous</w:t>
      </w:r>
      <w:proofErr w:type="spellEnd"/>
      <w:r w:rsidRPr="00367B3C">
        <w:rPr>
          <w:sz w:val="22"/>
          <w:szCs w:val="22"/>
        </w:rPr>
        <w:t xml:space="preserve">, F., &amp; Darbon, D. (2022). </w:t>
      </w:r>
      <w:r w:rsidRPr="00367B3C">
        <w:rPr>
          <w:sz w:val="22"/>
          <w:szCs w:val="22"/>
          <w:lang w:val="en-GB"/>
        </w:rPr>
        <w:t xml:space="preserve">What’s in the middle: Scratching beneath the surface of the middle class(es) in Brazil, Côte d’Ivoire, Turkey and Vietnam, </w:t>
      </w:r>
      <w:r w:rsidRPr="00367B3C">
        <w:rPr>
          <w:i/>
          <w:sz w:val="22"/>
          <w:szCs w:val="22"/>
          <w:lang w:val="en-GB"/>
        </w:rPr>
        <w:t>World Development</w:t>
      </w:r>
      <w:r w:rsidRPr="00367B3C">
        <w:rPr>
          <w:sz w:val="22"/>
          <w:szCs w:val="22"/>
          <w:lang w:val="en-GB"/>
        </w:rPr>
        <w:t>, 158.</w:t>
      </w:r>
    </w:p>
    <w:bookmarkEnd w:id="2"/>
    <w:p w:rsidR="00C5733A" w:rsidRPr="00367B3C" w:rsidRDefault="00C5733A" w:rsidP="00C5733A">
      <w:pPr>
        <w:ind w:left="284" w:hanging="284"/>
        <w:jc w:val="both"/>
        <w:rPr>
          <w:color w:val="000000"/>
          <w:sz w:val="22"/>
          <w:szCs w:val="22"/>
          <w:shd w:val="clear" w:color="auto" w:fill="FFFFFF"/>
        </w:rPr>
      </w:pPr>
      <w:r w:rsidRPr="00367B3C">
        <w:rPr>
          <w:rStyle w:val="auteur"/>
          <w:bCs/>
          <w:sz w:val="22"/>
          <w:szCs w:val="22"/>
        </w:rPr>
        <w:t xml:space="preserve">Damon, J. (2013). </w:t>
      </w:r>
      <w:r w:rsidRPr="00367B3C">
        <w:rPr>
          <w:bCs/>
          <w:i/>
          <w:sz w:val="22"/>
          <w:szCs w:val="22"/>
        </w:rPr>
        <w:t>Les classes moyennes</w:t>
      </w:r>
      <w:r w:rsidRPr="00367B3C">
        <w:rPr>
          <w:bCs/>
          <w:sz w:val="22"/>
          <w:szCs w:val="22"/>
        </w:rPr>
        <w:t xml:space="preserve">. </w:t>
      </w:r>
      <w:proofErr w:type="spellStart"/>
      <w:r w:rsidRPr="00367B3C">
        <w:rPr>
          <w:color w:val="000000"/>
          <w:sz w:val="22"/>
          <w:szCs w:val="22"/>
          <w:shd w:val="clear" w:color="auto" w:fill="FFFFFF"/>
        </w:rPr>
        <w:t>Puf</w:t>
      </w:r>
      <w:proofErr w:type="spellEnd"/>
      <w:r w:rsidRPr="00367B3C">
        <w:rPr>
          <w:color w:val="000000"/>
          <w:sz w:val="22"/>
          <w:szCs w:val="22"/>
          <w:shd w:val="clear" w:color="auto" w:fill="FFFFFF"/>
        </w:rPr>
        <w:t>. Que sais-je ?</w:t>
      </w:r>
    </w:p>
    <w:p w:rsidR="00C5733A" w:rsidRPr="00367B3C" w:rsidRDefault="00C5733A" w:rsidP="00C5733A">
      <w:pPr>
        <w:ind w:left="284" w:hanging="284"/>
        <w:jc w:val="both"/>
        <w:rPr>
          <w:rStyle w:val="in-revue"/>
          <w:sz w:val="22"/>
          <w:szCs w:val="22"/>
          <w:lang w:val="en-GB"/>
        </w:rPr>
      </w:pPr>
      <w:r w:rsidRPr="00367B3C">
        <w:rPr>
          <w:rStyle w:val="auteur"/>
          <w:bCs/>
          <w:sz w:val="22"/>
          <w:szCs w:val="22"/>
        </w:rPr>
        <w:t xml:space="preserve">Damon, J. (2012). </w:t>
      </w:r>
      <w:r w:rsidRPr="00367B3C">
        <w:rPr>
          <w:bCs/>
          <w:sz w:val="22"/>
          <w:szCs w:val="22"/>
        </w:rPr>
        <w:t xml:space="preserve">Les classes moyennes : définitions et situations. </w:t>
      </w:r>
      <w:r w:rsidRPr="00367B3C">
        <w:rPr>
          <w:bCs/>
          <w:i/>
          <w:sz w:val="22"/>
          <w:szCs w:val="22"/>
          <w:lang w:val="en-GB"/>
        </w:rPr>
        <w:t>Etudes</w:t>
      </w:r>
      <w:r w:rsidRPr="00367B3C">
        <w:rPr>
          <w:bCs/>
          <w:sz w:val="22"/>
          <w:szCs w:val="22"/>
          <w:lang w:val="en-GB"/>
        </w:rPr>
        <w:t>.</w:t>
      </w:r>
      <w:r w:rsidRPr="00367B3C">
        <w:rPr>
          <w:rStyle w:val="in-revue"/>
          <w:bCs/>
          <w:sz w:val="22"/>
          <w:szCs w:val="22"/>
          <w:lang w:val="en-GB"/>
        </w:rPr>
        <w:t xml:space="preserve"> 416(5)</w:t>
      </w:r>
      <w:r w:rsidRPr="00367B3C">
        <w:rPr>
          <w:rStyle w:val="in-revue"/>
          <w:sz w:val="22"/>
          <w:szCs w:val="22"/>
          <w:lang w:val="en-GB"/>
        </w:rPr>
        <w:t>. 605-616.</w:t>
      </w:r>
    </w:p>
    <w:p w:rsidR="00C5733A" w:rsidRPr="00367B3C" w:rsidRDefault="00C5733A" w:rsidP="00C5733A">
      <w:pPr>
        <w:ind w:left="284" w:hanging="284"/>
        <w:jc w:val="both"/>
        <w:rPr>
          <w:sz w:val="22"/>
          <w:szCs w:val="22"/>
          <w:lang w:val="en-GB"/>
        </w:rPr>
      </w:pPr>
      <w:r w:rsidRPr="00367B3C">
        <w:rPr>
          <w:sz w:val="22"/>
          <w:szCs w:val="22"/>
          <w:lang w:val="en-GB"/>
        </w:rPr>
        <w:t xml:space="preserve">Dang, H.-A. H. &amp; </w:t>
      </w:r>
      <w:proofErr w:type="spellStart"/>
      <w:r w:rsidRPr="00367B3C">
        <w:rPr>
          <w:sz w:val="22"/>
          <w:szCs w:val="22"/>
          <w:lang w:val="en-GB"/>
        </w:rPr>
        <w:t>Ianchovichina</w:t>
      </w:r>
      <w:proofErr w:type="spellEnd"/>
      <w:r w:rsidRPr="00367B3C">
        <w:rPr>
          <w:sz w:val="22"/>
          <w:szCs w:val="22"/>
          <w:lang w:val="en-GB"/>
        </w:rPr>
        <w:t xml:space="preserve">, E. (2016). Welfare Dynamics with Synthetic Panels: The Case of the Arab World in Transition. </w:t>
      </w:r>
      <w:r w:rsidRPr="00367B3C">
        <w:rPr>
          <w:i/>
          <w:sz w:val="22"/>
          <w:szCs w:val="22"/>
          <w:lang w:val="en-GB"/>
        </w:rPr>
        <w:t>Policy Research Working Paper</w:t>
      </w:r>
      <w:r w:rsidRPr="00367B3C">
        <w:rPr>
          <w:sz w:val="22"/>
          <w:szCs w:val="22"/>
          <w:lang w:val="en-GB"/>
        </w:rPr>
        <w:t xml:space="preserve"> 7595. The World Bank</w:t>
      </w:r>
    </w:p>
    <w:p w:rsidR="00C5733A" w:rsidRPr="00367B3C" w:rsidRDefault="00C5733A" w:rsidP="00C5733A">
      <w:pPr>
        <w:ind w:left="284" w:hanging="284"/>
        <w:jc w:val="both"/>
        <w:rPr>
          <w:sz w:val="22"/>
          <w:szCs w:val="22"/>
          <w:lang w:val="en-GB"/>
        </w:rPr>
      </w:pPr>
      <w:proofErr w:type="spellStart"/>
      <w:r w:rsidRPr="00367B3C">
        <w:rPr>
          <w:bCs/>
          <w:color w:val="333333"/>
          <w:sz w:val="22"/>
          <w:szCs w:val="22"/>
          <w:lang w:val="en-GB"/>
        </w:rPr>
        <w:t>Durlauf</w:t>
      </w:r>
      <w:proofErr w:type="spellEnd"/>
      <w:r w:rsidRPr="00367B3C">
        <w:rPr>
          <w:bCs/>
          <w:color w:val="333333"/>
          <w:sz w:val="22"/>
          <w:szCs w:val="22"/>
          <w:lang w:val="en-GB"/>
        </w:rPr>
        <w:t xml:space="preserve">, S. N., </w:t>
      </w:r>
      <w:proofErr w:type="spellStart"/>
      <w:r w:rsidRPr="00367B3C">
        <w:rPr>
          <w:bCs/>
          <w:color w:val="333333"/>
          <w:sz w:val="22"/>
          <w:szCs w:val="22"/>
          <w:lang w:val="en-GB"/>
        </w:rPr>
        <w:t>Kourtellos</w:t>
      </w:r>
      <w:proofErr w:type="spellEnd"/>
      <w:r w:rsidRPr="00367B3C">
        <w:rPr>
          <w:bCs/>
          <w:color w:val="333333"/>
          <w:sz w:val="22"/>
          <w:szCs w:val="22"/>
          <w:lang w:val="en-GB"/>
        </w:rPr>
        <w:t xml:space="preserve">, A., &amp; Tan, C. M. (2022). </w:t>
      </w:r>
      <w:r w:rsidRPr="00367B3C">
        <w:rPr>
          <w:sz w:val="22"/>
          <w:szCs w:val="22"/>
          <w:lang w:val="en-GB"/>
        </w:rPr>
        <w:t xml:space="preserve">The Great Gatsby Curve. </w:t>
      </w:r>
      <w:r w:rsidRPr="00367B3C">
        <w:rPr>
          <w:rStyle w:val="lev"/>
          <w:b w:val="0"/>
          <w:i/>
          <w:sz w:val="22"/>
          <w:szCs w:val="22"/>
          <w:lang w:val="en-GB"/>
        </w:rPr>
        <w:t>Annual Review of Economics,</w:t>
      </w:r>
      <w:r w:rsidRPr="00367B3C">
        <w:rPr>
          <w:b/>
          <w:sz w:val="22"/>
          <w:szCs w:val="22"/>
          <w:lang w:val="en-GB"/>
        </w:rPr>
        <w:t xml:space="preserve"> </w:t>
      </w:r>
      <w:r w:rsidRPr="00367B3C">
        <w:rPr>
          <w:sz w:val="22"/>
          <w:szCs w:val="22"/>
          <w:lang w:val="en-GB"/>
        </w:rPr>
        <w:t>14: 571-605.</w:t>
      </w:r>
    </w:p>
    <w:p w:rsidR="00C5733A" w:rsidRPr="00367B3C" w:rsidRDefault="00C5733A" w:rsidP="00C5733A">
      <w:pPr>
        <w:ind w:left="284" w:hanging="284"/>
        <w:jc w:val="both"/>
        <w:rPr>
          <w:sz w:val="22"/>
          <w:szCs w:val="22"/>
          <w:lang w:val="en-GB"/>
        </w:rPr>
      </w:pPr>
      <w:r w:rsidRPr="00367B3C">
        <w:rPr>
          <w:color w:val="333333"/>
          <w:sz w:val="22"/>
          <w:szCs w:val="22"/>
          <w:lang w:val="en-GB"/>
        </w:rPr>
        <w:t xml:space="preserve">ESCWA (2014). </w:t>
      </w:r>
      <w:r w:rsidRPr="00367B3C">
        <w:rPr>
          <w:i/>
          <w:sz w:val="22"/>
          <w:szCs w:val="22"/>
          <w:lang w:val="en-GB"/>
        </w:rPr>
        <w:t xml:space="preserve">Arab </w:t>
      </w:r>
      <w:proofErr w:type="gramStart"/>
      <w:r w:rsidRPr="00367B3C">
        <w:rPr>
          <w:i/>
          <w:sz w:val="22"/>
          <w:szCs w:val="22"/>
          <w:lang w:val="en-GB"/>
        </w:rPr>
        <w:t>Middle Class</w:t>
      </w:r>
      <w:proofErr w:type="gramEnd"/>
      <w:r w:rsidRPr="00367B3C">
        <w:rPr>
          <w:i/>
          <w:sz w:val="22"/>
          <w:szCs w:val="22"/>
          <w:lang w:val="en-GB"/>
        </w:rPr>
        <w:t xml:space="preserve"> Measurement and role in driving change</w:t>
      </w:r>
      <w:r w:rsidRPr="00367B3C">
        <w:rPr>
          <w:sz w:val="22"/>
          <w:szCs w:val="22"/>
          <w:lang w:val="en-GB"/>
        </w:rPr>
        <w:t>. Economic and Social Commission for Western Asia. United Nations: Beirut.</w:t>
      </w:r>
    </w:p>
    <w:p w:rsidR="00C5733A" w:rsidRPr="00367B3C" w:rsidRDefault="00C5733A" w:rsidP="00C5733A">
      <w:pPr>
        <w:ind w:left="284" w:hanging="284"/>
        <w:jc w:val="both"/>
        <w:rPr>
          <w:color w:val="333333"/>
          <w:sz w:val="22"/>
          <w:szCs w:val="22"/>
          <w:lang w:val="en-GB"/>
        </w:rPr>
      </w:pPr>
      <w:bookmarkStart w:id="3" w:name="_Hlk125989937"/>
      <w:r w:rsidRPr="00367B3C">
        <w:rPr>
          <w:color w:val="333333"/>
          <w:sz w:val="22"/>
          <w:szCs w:val="22"/>
          <w:lang w:val="en-GB"/>
        </w:rPr>
        <w:t xml:space="preserve">Easterly, W. (2001). The </w:t>
      </w:r>
      <w:proofErr w:type="gramStart"/>
      <w:r w:rsidRPr="00367B3C">
        <w:rPr>
          <w:color w:val="333333"/>
          <w:sz w:val="22"/>
          <w:szCs w:val="22"/>
          <w:lang w:val="en-GB"/>
        </w:rPr>
        <w:t>middle class</w:t>
      </w:r>
      <w:proofErr w:type="gramEnd"/>
      <w:r w:rsidRPr="00367B3C">
        <w:rPr>
          <w:color w:val="333333"/>
          <w:sz w:val="22"/>
          <w:szCs w:val="22"/>
          <w:lang w:val="en-GB"/>
        </w:rPr>
        <w:t xml:space="preserve"> consensus and economic development. </w:t>
      </w:r>
      <w:r w:rsidRPr="00367B3C">
        <w:rPr>
          <w:i/>
          <w:color w:val="333333"/>
          <w:sz w:val="22"/>
          <w:szCs w:val="22"/>
          <w:lang w:val="en-GB"/>
        </w:rPr>
        <w:t>Journal of Economic Growth</w:t>
      </w:r>
      <w:r w:rsidRPr="00367B3C">
        <w:rPr>
          <w:color w:val="333333"/>
          <w:sz w:val="22"/>
          <w:szCs w:val="22"/>
          <w:lang w:val="en-GB"/>
        </w:rPr>
        <w:t>, 6(4): 317-335.</w:t>
      </w:r>
    </w:p>
    <w:bookmarkEnd w:id="3"/>
    <w:p w:rsidR="00C5733A" w:rsidRPr="00367B3C" w:rsidRDefault="00C5733A" w:rsidP="00C5733A">
      <w:pPr>
        <w:ind w:left="284" w:hanging="284"/>
        <w:jc w:val="both"/>
        <w:rPr>
          <w:sz w:val="22"/>
          <w:szCs w:val="22"/>
          <w:lang w:val="en-GB"/>
        </w:rPr>
      </w:pPr>
      <w:r w:rsidRPr="00367B3C">
        <w:rPr>
          <w:bCs/>
          <w:color w:val="000000"/>
          <w:sz w:val="22"/>
          <w:szCs w:val="22"/>
          <w:lang w:val="en-GB"/>
        </w:rPr>
        <w:t>Iversen. V., Krishna. A. &amp; Sen, K. (</w:t>
      </w:r>
      <w:r w:rsidRPr="00367B3C">
        <w:rPr>
          <w:color w:val="000000"/>
          <w:sz w:val="22"/>
          <w:szCs w:val="22"/>
          <w:lang w:val="en-GB"/>
        </w:rPr>
        <w:t xml:space="preserve">2021). </w:t>
      </w:r>
      <w:hyperlink r:id="rId10" w:history="1">
        <w:r w:rsidRPr="00367B3C">
          <w:rPr>
            <w:i/>
            <w:sz w:val="22"/>
            <w:szCs w:val="22"/>
            <w:lang w:val="en-GB"/>
          </w:rPr>
          <w:t>Social Mobility in Developing Countries: Concepts, Methods and Determinants</w:t>
        </w:r>
      </w:hyperlink>
      <w:r w:rsidRPr="00367B3C">
        <w:rPr>
          <w:sz w:val="22"/>
          <w:szCs w:val="22"/>
          <w:lang w:val="en-GB"/>
        </w:rPr>
        <w:t>. Oxford University Press.</w:t>
      </w:r>
    </w:p>
    <w:p w:rsidR="00C5733A" w:rsidRPr="00367B3C" w:rsidRDefault="00C5733A" w:rsidP="00C5733A">
      <w:pPr>
        <w:ind w:left="284" w:hanging="284"/>
        <w:jc w:val="both"/>
        <w:rPr>
          <w:sz w:val="22"/>
          <w:szCs w:val="22"/>
        </w:rPr>
      </w:pPr>
      <w:proofErr w:type="spellStart"/>
      <w:r w:rsidRPr="00367B3C">
        <w:rPr>
          <w:sz w:val="22"/>
          <w:szCs w:val="22"/>
          <w:lang w:val="en-GB"/>
        </w:rPr>
        <w:t>Kharas</w:t>
      </w:r>
      <w:proofErr w:type="spellEnd"/>
      <w:r w:rsidRPr="00367B3C">
        <w:rPr>
          <w:sz w:val="22"/>
          <w:szCs w:val="22"/>
          <w:lang w:val="en-GB"/>
        </w:rPr>
        <w:t xml:space="preserve">, H. (2010). The Emerging Middle Class in Developing Countries. </w:t>
      </w:r>
      <w:proofErr w:type="spellStart"/>
      <w:r w:rsidRPr="00367B3C">
        <w:rPr>
          <w:i/>
          <w:sz w:val="22"/>
          <w:szCs w:val="22"/>
        </w:rPr>
        <w:t>Development</w:t>
      </w:r>
      <w:proofErr w:type="spellEnd"/>
      <w:r w:rsidRPr="00367B3C">
        <w:rPr>
          <w:i/>
          <w:sz w:val="22"/>
          <w:szCs w:val="22"/>
        </w:rPr>
        <w:t xml:space="preserve"> Centre </w:t>
      </w:r>
      <w:proofErr w:type="spellStart"/>
      <w:r w:rsidRPr="00367B3C">
        <w:rPr>
          <w:i/>
          <w:sz w:val="22"/>
          <w:szCs w:val="22"/>
        </w:rPr>
        <w:t>Working</w:t>
      </w:r>
      <w:proofErr w:type="spellEnd"/>
      <w:r w:rsidRPr="00367B3C">
        <w:rPr>
          <w:i/>
          <w:sz w:val="22"/>
          <w:szCs w:val="22"/>
        </w:rPr>
        <w:t xml:space="preserve"> Paper </w:t>
      </w:r>
      <w:r w:rsidRPr="00367B3C">
        <w:rPr>
          <w:sz w:val="22"/>
          <w:szCs w:val="22"/>
          <w:shd w:val="clear" w:color="auto" w:fill="FFFFFF"/>
        </w:rPr>
        <w:t>No. 285</w:t>
      </w:r>
      <w:r w:rsidRPr="00367B3C">
        <w:rPr>
          <w:sz w:val="22"/>
          <w:szCs w:val="22"/>
        </w:rPr>
        <w:t>. Paris: OECD.</w:t>
      </w:r>
    </w:p>
    <w:p w:rsidR="00C5733A" w:rsidRPr="00367B3C" w:rsidRDefault="00C5733A" w:rsidP="00C5733A">
      <w:pPr>
        <w:ind w:left="284" w:hanging="284"/>
        <w:jc w:val="both"/>
        <w:rPr>
          <w:bCs/>
          <w:color w:val="202122"/>
          <w:sz w:val="22"/>
          <w:szCs w:val="22"/>
          <w:shd w:val="clear" w:color="auto" w:fill="FFFFFF"/>
        </w:rPr>
      </w:pPr>
      <w:r w:rsidRPr="00367B3C">
        <w:rPr>
          <w:bCs/>
          <w:color w:val="202122"/>
          <w:sz w:val="22"/>
          <w:szCs w:val="22"/>
          <w:shd w:val="clear" w:color="auto" w:fill="FFFFFF"/>
        </w:rPr>
        <w:t xml:space="preserve">OIT (2008). </w:t>
      </w:r>
      <w:r w:rsidRPr="00367B3C">
        <w:rPr>
          <w:color w:val="000000"/>
          <w:sz w:val="22"/>
          <w:szCs w:val="22"/>
        </w:rPr>
        <w:t>Classification internationale type des professions (CITP-08)</w:t>
      </w:r>
      <w:r w:rsidRPr="00367B3C">
        <w:rPr>
          <w:bCs/>
          <w:color w:val="202122"/>
          <w:sz w:val="22"/>
          <w:szCs w:val="22"/>
          <w:shd w:val="clear" w:color="auto" w:fill="FFFFFF"/>
        </w:rPr>
        <w:t xml:space="preserve"> Organisation Internationale du Travail, Genève.</w:t>
      </w:r>
    </w:p>
    <w:p w:rsidR="00C5733A" w:rsidRPr="00367B3C" w:rsidRDefault="00C5733A" w:rsidP="00C5733A">
      <w:pPr>
        <w:ind w:left="284" w:hanging="284"/>
        <w:jc w:val="both"/>
        <w:rPr>
          <w:sz w:val="22"/>
          <w:szCs w:val="22"/>
          <w:shd w:val="clear" w:color="auto" w:fill="FFFFFF"/>
          <w:lang w:val="en-GB"/>
        </w:rPr>
      </w:pPr>
      <w:r w:rsidRPr="00367B3C">
        <w:rPr>
          <w:sz w:val="22"/>
          <w:szCs w:val="22"/>
          <w:shd w:val="clear" w:color="auto" w:fill="FFFFFF"/>
          <w:lang w:val="en-GB"/>
        </w:rPr>
        <w:lastRenderedPageBreak/>
        <w:t xml:space="preserve">Mills C. Wright (1951). </w:t>
      </w:r>
      <w:r w:rsidRPr="00367B3C">
        <w:rPr>
          <w:i/>
          <w:sz w:val="22"/>
          <w:szCs w:val="22"/>
          <w:shd w:val="clear" w:color="auto" w:fill="FFFFFF"/>
          <w:lang w:val="en-GB"/>
        </w:rPr>
        <w:t>White Collar. The American Middle Classes</w:t>
      </w:r>
      <w:r w:rsidRPr="00367B3C">
        <w:rPr>
          <w:sz w:val="22"/>
          <w:szCs w:val="22"/>
          <w:shd w:val="clear" w:color="auto" w:fill="FFFFFF"/>
          <w:lang w:val="en-GB"/>
        </w:rPr>
        <w:t xml:space="preserve">. Oxford University Press. </w:t>
      </w:r>
    </w:p>
    <w:p w:rsidR="00C5733A" w:rsidRPr="00367B3C" w:rsidRDefault="00C5733A" w:rsidP="00C5733A">
      <w:pPr>
        <w:ind w:left="284" w:hanging="284"/>
        <w:jc w:val="both"/>
        <w:rPr>
          <w:color w:val="202122"/>
          <w:sz w:val="22"/>
          <w:szCs w:val="22"/>
          <w:shd w:val="clear" w:color="auto" w:fill="FFFFFF"/>
          <w:lang w:val="en-GB"/>
        </w:rPr>
      </w:pPr>
      <w:r w:rsidRPr="00367B3C">
        <w:rPr>
          <w:sz w:val="22"/>
          <w:szCs w:val="22"/>
          <w:lang w:val="en-GB"/>
        </w:rPr>
        <w:t xml:space="preserve">PEW (2015). </w:t>
      </w:r>
      <w:hyperlink r:id="rId11" w:history="1">
        <w:r w:rsidRPr="00367B3C">
          <w:rPr>
            <w:rStyle w:val="Lienhypertexte"/>
            <w:bCs/>
            <w:i/>
            <w:sz w:val="22"/>
            <w:szCs w:val="22"/>
            <w:shd w:val="clear" w:color="auto" w:fill="FFFFFF"/>
            <w:lang w:val="en-GB"/>
          </w:rPr>
          <w:t>A Global Middle Class Is More Promise than Reality</w:t>
        </w:r>
      </w:hyperlink>
      <w:r w:rsidRPr="00367B3C">
        <w:rPr>
          <w:i/>
          <w:sz w:val="22"/>
          <w:szCs w:val="22"/>
          <w:lang w:val="en-GB"/>
        </w:rPr>
        <w:t xml:space="preserve"> </w:t>
      </w:r>
      <w:r w:rsidRPr="00367B3C">
        <w:rPr>
          <w:sz w:val="22"/>
          <w:szCs w:val="22"/>
          <w:lang w:val="en-GB"/>
        </w:rPr>
        <w:t xml:space="preserve">Report </w:t>
      </w:r>
      <w:hyperlink r:id="rId12" w:history="1">
        <w:r w:rsidRPr="00367B3C">
          <w:rPr>
            <w:rStyle w:val="Lienhypertexte"/>
            <w:sz w:val="22"/>
            <w:szCs w:val="22"/>
            <w:lang w:val="en-GB"/>
          </w:rPr>
          <w:t>www.pewresearch.org</w:t>
        </w:r>
      </w:hyperlink>
      <w:r w:rsidRPr="00367B3C">
        <w:rPr>
          <w:sz w:val="22"/>
          <w:szCs w:val="22"/>
          <w:lang w:val="en-GB"/>
        </w:rPr>
        <w:t xml:space="preserve"> </w:t>
      </w:r>
      <w:r w:rsidRPr="00367B3C">
        <w:rPr>
          <w:color w:val="202122"/>
          <w:sz w:val="22"/>
          <w:szCs w:val="22"/>
          <w:shd w:val="clear" w:color="auto" w:fill="FFFFFF"/>
          <w:lang w:val="en-GB"/>
        </w:rPr>
        <w:t xml:space="preserve">Pew Research </w:t>
      </w:r>
      <w:proofErr w:type="spellStart"/>
      <w:r w:rsidRPr="00367B3C">
        <w:rPr>
          <w:color w:val="202122"/>
          <w:sz w:val="22"/>
          <w:szCs w:val="22"/>
          <w:shd w:val="clear" w:color="auto" w:fill="FFFFFF"/>
          <w:lang w:val="en-GB"/>
        </w:rPr>
        <w:t>Center</w:t>
      </w:r>
      <w:proofErr w:type="spellEnd"/>
      <w:r w:rsidRPr="00367B3C">
        <w:rPr>
          <w:color w:val="202122"/>
          <w:sz w:val="22"/>
          <w:szCs w:val="22"/>
          <w:shd w:val="clear" w:color="auto" w:fill="FFFFFF"/>
          <w:lang w:val="en-GB"/>
        </w:rPr>
        <w:t>, Washington.</w:t>
      </w:r>
    </w:p>
    <w:p w:rsidR="00C5733A" w:rsidRPr="00367B3C" w:rsidRDefault="00022E72" w:rsidP="00C5733A">
      <w:pPr>
        <w:ind w:left="284" w:hanging="284"/>
        <w:jc w:val="both"/>
        <w:rPr>
          <w:sz w:val="22"/>
          <w:szCs w:val="22"/>
        </w:rPr>
      </w:pPr>
      <w:hyperlink r:id="rId13" w:history="1">
        <w:proofErr w:type="spellStart"/>
        <w:r w:rsidR="00C5733A" w:rsidRPr="00367B3C">
          <w:rPr>
            <w:sz w:val="22"/>
            <w:szCs w:val="22"/>
            <w:lang w:val="en-GB"/>
          </w:rPr>
          <w:t>Szreter</w:t>
        </w:r>
        <w:proofErr w:type="spellEnd"/>
      </w:hyperlink>
      <w:r w:rsidR="00C5733A" w:rsidRPr="00367B3C">
        <w:rPr>
          <w:sz w:val="22"/>
          <w:szCs w:val="22"/>
          <w:lang w:val="en-GB"/>
        </w:rPr>
        <w:t xml:space="preserve"> S. (1996). </w:t>
      </w:r>
      <w:r w:rsidR="00C5733A" w:rsidRPr="00367B3C">
        <w:rPr>
          <w:i/>
          <w:sz w:val="22"/>
          <w:szCs w:val="22"/>
          <w:lang w:val="en-GB"/>
        </w:rPr>
        <w:t>Fertility, Class and Gender in Britain, 1860-1940</w:t>
      </w:r>
      <w:r w:rsidR="00C5733A" w:rsidRPr="00367B3C">
        <w:rPr>
          <w:sz w:val="22"/>
          <w:szCs w:val="22"/>
          <w:lang w:val="en-GB"/>
        </w:rPr>
        <w:t xml:space="preserve">. </w:t>
      </w:r>
      <w:hyperlink r:id="rId14" w:history="1">
        <w:r w:rsidR="00C5733A" w:rsidRPr="00367B3C">
          <w:rPr>
            <w:sz w:val="22"/>
            <w:szCs w:val="22"/>
          </w:rPr>
          <w:t xml:space="preserve">Cambridge </w:t>
        </w:r>
        <w:proofErr w:type="spellStart"/>
        <w:r w:rsidR="00C5733A" w:rsidRPr="00367B3C">
          <w:rPr>
            <w:sz w:val="22"/>
            <w:szCs w:val="22"/>
          </w:rPr>
          <w:t>University</w:t>
        </w:r>
        <w:proofErr w:type="spellEnd"/>
        <w:r w:rsidR="00C5733A" w:rsidRPr="00367B3C">
          <w:rPr>
            <w:sz w:val="22"/>
            <w:szCs w:val="22"/>
          </w:rPr>
          <w:t xml:space="preserve"> </w:t>
        </w:r>
        <w:proofErr w:type="spellStart"/>
        <w:r w:rsidR="00C5733A" w:rsidRPr="00367B3C">
          <w:rPr>
            <w:sz w:val="22"/>
            <w:szCs w:val="22"/>
          </w:rPr>
          <w:t>Press</w:t>
        </w:r>
        <w:proofErr w:type="spellEnd"/>
      </w:hyperlink>
      <w:r w:rsidR="00C5733A" w:rsidRPr="00367B3C">
        <w:rPr>
          <w:sz w:val="22"/>
          <w:szCs w:val="22"/>
        </w:rPr>
        <w:t xml:space="preserve">. </w:t>
      </w:r>
    </w:p>
    <w:p w:rsidR="00C5733A" w:rsidRPr="00367B3C" w:rsidRDefault="00C5733A" w:rsidP="00C5733A">
      <w:pPr>
        <w:ind w:left="284" w:hanging="284"/>
        <w:jc w:val="both"/>
        <w:rPr>
          <w:color w:val="000000"/>
          <w:sz w:val="22"/>
          <w:szCs w:val="22"/>
        </w:rPr>
      </w:pPr>
      <w:r w:rsidRPr="00367B3C">
        <w:rPr>
          <w:sz w:val="22"/>
          <w:szCs w:val="22"/>
        </w:rPr>
        <w:t xml:space="preserve">Veblen. T. B. (1899). </w:t>
      </w:r>
      <w:r w:rsidRPr="00367B3C">
        <w:rPr>
          <w:i/>
          <w:sz w:val="22"/>
          <w:szCs w:val="22"/>
        </w:rPr>
        <w:t>T</w:t>
      </w:r>
      <w:r w:rsidRPr="00367B3C">
        <w:rPr>
          <w:i/>
          <w:color w:val="000000"/>
          <w:sz w:val="22"/>
          <w:szCs w:val="22"/>
        </w:rPr>
        <w:t>héorie de la classe de loisir</w:t>
      </w:r>
      <w:r w:rsidRPr="00367B3C">
        <w:rPr>
          <w:color w:val="000000"/>
          <w:sz w:val="22"/>
          <w:szCs w:val="22"/>
        </w:rPr>
        <w:t>. Gallimard. 1970.</w:t>
      </w:r>
    </w:p>
    <w:p w:rsidR="00C5733A" w:rsidRPr="00367B3C" w:rsidRDefault="00C5733A" w:rsidP="00C5733A">
      <w:pPr>
        <w:ind w:left="284" w:hanging="284"/>
        <w:jc w:val="both"/>
        <w:rPr>
          <w:color w:val="202122"/>
          <w:sz w:val="22"/>
          <w:szCs w:val="22"/>
          <w:lang w:val="en-GB"/>
        </w:rPr>
      </w:pPr>
      <w:r w:rsidRPr="00367B3C">
        <w:rPr>
          <w:color w:val="0F1111"/>
          <w:sz w:val="22"/>
          <w:szCs w:val="22"/>
          <w:shd w:val="clear" w:color="auto" w:fill="FFFFFF"/>
        </w:rPr>
        <w:t>Weber M. (1921).</w:t>
      </w:r>
      <w:r w:rsidRPr="00367B3C">
        <w:rPr>
          <w:i/>
          <w:sz w:val="22"/>
          <w:szCs w:val="22"/>
        </w:rPr>
        <w:t xml:space="preserve"> Economie et société</w:t>
      </w:r>
      <w:r w:rsidRPr="00367B3C">
        <w:rPr>
          <w:color w:val="202122"/>
          <w:sz w:val="22"/>
          <w:szCs w:val="22"/>
        </w:rPr>
        <w:t xml:space="preserve">. </w:t>
      </w:r>
      <w:proofErr w:type="spellStart"/>
      <w:r w:rsidRPr="00367B3C">
        <w:rPr>
          <w:color w:val="202122"/>
          <w:sz w:val="22"/>
          <w:szCs w:val="22"/>
          <w:lang w:val="en-GB"/>
        </w:rPr>
        <w:t>Plon</w:t>
      </w:r>
      <w:proofErr w:type="spellEnd"/>
      <w:r w:rsidRPr="00367B3C">
        <w:rPr>
          <w:color w:val="202122"/>
          <w:sz w:val="22"/>
          <w:szCs w:val="22"/>
          <w:lang w:val="en-GB"/>
        </w:rPr>
        <w:t>, 1971 (2003).</w:t>
      </w:r>
    </w:p>
    <w:p w:rsidR="00C5733A" w:rsidRPr="00367B3C" w:rsidRDefault="00C5733A" w:rsidP="00C5733A">
      <w:pPr>
        <w:ind w:left="284" w:hanging="284"/>
        <w:jc w:val="both"/>
        <w:rPr>
          <w:sz w:val="22"/>
          <w:szCs w:val="22"/>
          <w:shd w:val="clear" w:color="auto" w:fill="FFFFFF"/>
          <w:lang w:val="en-GB"/>
        </w:rPr>
      </w:pPr>
      <w:r w:rsidRPr="00367B3C">
        <w:rPr>
          <w:sz w:val="22"/>
          <w:szCs w:val="22"/>
          <w:shd w:val="clear" w:color="auto" w:fill="FFFFFF"/>
          <w:lang w:val="en-GB"/>
        </w:rPr>
        <w:t xml:space="preserve">World Bank. World Bank Enterprise Surveys. Data </w:t>
      </w:r>
      <w:proofErr w:type="spellStart"/>
      <w:r w:rsidRPr="00367B3C">
        <w:rPr>
          <w:sz w:val="22"/>
          <w:szCs w:val="22"/>
          <w:shd w:val="clear" w:color="auto" w:fill="FFFFFF"/>
          <w:lang w:val="en-GB"/>
        </w:rPr>
        <w:t>catalog</w:t>
      </w:r>
      <w:proofErr w:type="spellEnd"/>
      <w:r w:rsidRPr="00367B3C">
        <w:rPr>
          <w:sz w:val="22"/>
          <w:szCs w:val="22"/>
          <w:shd w:val="clear" w:color="auto" w:fill="FFFFFF"/>
          <w:lang w:val="en-GB"/>
        </w:rPr>
        <w:t>. Washington, The World Bank.</w:t>
      </w:r>
    </w:p>
    <w:p w:rsidR="00C5733A" w:rsidRPr="00367B3C" w:rsidRDefault="00C5733A" w:rsidP="00C5733A">
      <w:pPr>
        <w:ind w:left="284" w:hanging="284"/>
        <w:jc w:val="both"/>
        <w:rPr>
          <w:color w:val="000000"/>
          <w:sz w:val="22"/>
          <w:szCs w:val="22"/>
          <w:lang w:val="en-GB"/>
        </w:rPr>
      </w:pPr>
      <w:r w:rsidRPr="00367B3C">
        <w:rPr>
          <w:sz w:val="22"/>
          <w:szCs w:val="22"/>
          <w:shd w:val="clear" w:color="auto" w:fill="FFFFFF"/>
          <w:lang w:val="en-GB"/>
        </w:rPr>
        <w:t xml:space="preserve">WVS Wave 7 (2017-2022). </w:t>
      </w:r>
      <w:r w:rsidRPr="00367B3C">
        <w:rPr>
          <w:rStyle w:val="Accentuation"/>
          <w:color w:val="000000"/>
          <w:sz w:val="22"/>
          <w:szCs w:val="22"/>
          <w:bdr w:val="none" w:sz="0" w:space="0" w:color="auto" w:frame="1"/>
          <w:lang w:val="en-GB"/>
        </w:rPr>
        <w:t>World Values Surveys</w:t>
      </w:r>
      <w:r w:rsidRPr="00367B3C">
        <w:rPr>
          <w:color w:val="000000"/>
          <w:sz w:val="22"/>
          <w:szCs w:val="22"/>
          <w:lang w:val="en-GB"/>
        </w:rPr>
        <w:t>. https://www.worldvaluessurvey.org</w:t>
      </w:r>
    </w:p>
    <w:p w:rsidR="00E016E1" w:rsidRPr="002A5969" w:rsidRDefault="00E016E1" w:rsidP="00E016E1">
      <w:pPr>
        <w:spacing w:before="120" w:after="120"/>
        <w:jc w:val="both"/>
        <w:rPr>
          <w:b/>
          <w:lang w:val="en-GB"/>
        </w:rPr>
      </w:pPr>
      <w:r w:rsidRPr="002A5969">
        <w:rPr>
          <w:b/>
          <w:lang w:val="en-GB"/>
        </w:rPr>
        <w:t>Appendix</w:t>
      </w:r>
    </w:p>
    <w:p w:rsidR="00E016E1" w:rsidRPr="00632CFE" w:rsidRDefault="00E016E1" w:rsidP="00E016E1">
      <w:pPr>
        <w:shd w:val="clear" w:color="auto" w:fill="FFFFFF"/>
        <w:rPr>
          <w:rStyle w:val="in-revue"/>
          <w:b/>
          <w:sz w:val="20"/>
          <w:szCs w:val="20"/>
          <w:lang w:val="en-GB"/>
        </w:rPr>
      </w:pPr>
      <w:r w:rsidRPr="00632CFE">
        <w:rPr>
          <w:rStyle w:val="in-revue"/>
          <w:b/>
          <w:sz w:val="20"/>
          <w:szCs w:val="20"/>
          <w:lang w:val="en-GB"/>
        </w:rPr>
        <w:t>Belonging to a social class: A subjective assessment.</w:t>
      </w:r>
    </w:p>
    <w:p w:rsidR="00E016E1" w:rsidRPr="00632CFE" w:rsidRDefault="00E016E1" w:rsidP="00E016E1">
      <w:pPr>
        <w:shd w:val="clear" w:color="auto" w:fill="FFFFFF"/>
        <w:rPr>
          <w:sz w:val="20"/>
          <w:szCs w:val="20"/>
          <w:lang w:val="en-GB"/>
        </w:rPr>
      </w:pPr>
      <w:r w:rsidRPr="00632CFE">
        <w:rPr>
          <w:rStyle w:val="in-revue"/>
          <w:sz w:val="20"/>
          <w:szCs w:val="20"/>
          <w:lang w:val="en-GB"/>
        </w:rPr>
        <w:t xml:space="preserve">Q 287: </w:t>
      </w:r>
      <w:r w:rsidRPr="00632CFE">
        <w:rPr>
          <w:sz w:val="20"/>
          <w:szCs w:val="20"/>
          <w:lang w:val="en-GB"/>
        </w:rPr>
        <w:t xml:space="preserve">- People sometimes describe themselves as belonging to the working class, the middle class, or the upper or lower class. Would you describe yourself as belonging one of them? </w:t>
      </w:r>
    </w:p>
    <w:p w:rsidR="00E016E1" w:rsidRPr="00632CFE" w:rsidRDefault="00E016E1" w:rsidP="00E016E1">
      <w:pPr>
        <w:shd w:val="clear" w:color="auto" w:fill="FFFFFF"/>
        <w:rPr>
          <w:sz w:val="20"/>
          <w:szCs w:val="20"/>
          <w:lang w:val="en-GB"/>
        </w:rPr>
      </w:pPr>
      <w:r w:rsidRPr="00632CFE">
        <w:rPr>
          <w:sz w:val="20"/>
          <w:szCs w:val="20"/>
          <w:lang w:val="en-GB"/>
        </w:rPr>
        <w:t xml:space="preserve">Egypt </w:t>
      </w:r>
      <w:r w:rsidRPr="00632CFE">
        <w:rPr>
          <w:rStyle w:val="in-revue"/>
          <w:sz w:val="20"/>
          <w:szCs w:val="20"/>
          <w:lang w:val="en-GB"/>
        </w:rPr>
        <w:t xml:space="preserve">(2018): </w:t>
      </w:r>
      <w:r w:rsidRPr="00632CFE">
        <w:rPr>
          <w:sz w:val="20"/>
          <w:szCs w:val="20"/>
          <w:lang w:val="en-GB"/>
        </w:rPr>
        <w:t>Upper middle class 9.1. Lower middle class 40.1</w:t>
      </w:r>
    </w:p>
    <w:p w:rsidR="00E016E1" w:rsidRPr="00632CFE" w:rsidRDefault="00E016E1" w:rsidP="00E016E1">
      <w:pPr>
        <w:shd w:val="clear" w:color="auto" w:fill="FFFFFF"/>
        <w:rPr>
          <w:sz w:val="20"/>
          <w:szCs w:val="20"/>
          <w:lang w:val="en-GB"/>
        </w:rPr>
      </w:pPr>
      <w:r w:rsidRPr="00632CFE">
        <w:rPr>
          <w:rStyle w:val="in-revue"/>
          <w:sz w:val="20"/>
          <w:szCs w:val="20"/>
          <w:lang w:val="en-GB"/>
        </w:rPr>
        <w:t>Jordan</w:t>
      </w:r>
      <w:r w:rsidRPr="00632CFE">
        <w:rPr>
          <w:sz w:val="20"/>
          <w:szCs w:val="20"/>
          <w:lang w:val="en-GB"/>
        </w:rPr>
        <w:t xml:space="preserve"> </w:t>
      </w:r>
      <w:r w:rsidRPr="00632CFE">
        <w:rPr>
          <w:rStyle w:val="in-revue"/>
          <w:sz w:val="20"/>
          <w:szCs w:val="20"/>
          <w:lang w:val="en-GB"/>
        </w:rPr>
        <w:t xml:space="preserve">(2018): </w:t>
      </w:r>
      <w:r w:rsidRPr="00632CFE">
        <w:rPr>
          <w:sz w:val="20"/>
          <w:szCs w:val="20"/>
          <w:lang w:val="en-GB"/>
        </w:rPr>
        <w:t>Upper middle class 12.8. Lower middle class 39.6</w:t>
      </w:r>
    </w:p>
    <w:p w:rsidR="00E016E1" w:rsidRPr="00632CFE" w:rsidRDefault="00E016E1" w:rsidP="00E016E1">
      <w:pPr>
        <w:shd w:val="clear" w:color="auto" w:fill="FFFFFF"/>
        <w:rPr>
          <w:sz w:val="20"/>
          <w:szCs w:val="20"/>
          <w:lang w:val="en-GB"/>
        </w:rPr>
      </w:pPr>
      <w:r w:rsidRPr="00632CFE">
        <w:rPr>
          <w:rStyle w:val="in-revue"/>
          <w:sz w:val="20"/>
          <w:szCs w:val="20"/>
          <w:lang w:val="en-GB"/>
        </w:rPr>
        <w:t xml:space="preserve">Lebanon (2018): </w:t>
      </w:r>
      <w:r w:rsidRPr="00632CFE">
        <w:rPr>
          <w:sz w:val="20"/>
          <w:szCs w:val="20"/>
          <w:lang w:val="en-GB"/>
        </w:rPr>
        <w:t>Upper middle class 29.7. Lower middle class 42.6</w:t>
      </w:r>
    </w:p>
    <w:p w:rsidR="00E016E1" w:rsidRPr="00632CFE" w:rsidRDefault="00E016E1" w:rsidP="00E016E1">
      <w:pPr>
        <w:shd w:val="clear" w:color="auto" w:fill="FFFFFF"/>
        <w:rPr>
          <w:rStyle w:val="in-revue"/>
          <w:sz w:val="20"/>
          <w:szCs w:val="20"/>
          <w:lang w:val="en-GB"/>
        </w:rPr>
      </w:pPr>
      <w:r w:rsidRPr="00632CFE">
        <w:rPr>
          <w:rStyle w:val="in-revue"/>
          <w:sz w:val="20"/>
          <w:szCs w:val="20"/>
          <w:lang w:val="en-GB"/>
        </w:rPr>
        <w:t xml:space="preserve">Tunisia (2019): </w:t>
      </w:r>
      <w:r w:rsidRPr="00632CFE">
        <w:rPr>
          <w:sz w:val="20"/>
          <w:szCs w:val="20"/>
          <w:lang w:val="en-GB"/>
        </w:rPr>
        <w:t>Upper middle class 22.4. Lower middle class 42.2</w:t>
      </w:r>
    </w:p>
    <w:p w:rsidR="00E016E1" w:rsidRPr="00632CFE" w:rsidRDefault="00E016E1" w:rsidP="00E016E1">
      <w:pPr>
        <w:shd w:val="clear" w:color="auto" w:fill="FFFFFF"/>
        <w:spacing w:after="120"/>
        <w:rPr>
          <w:sz w:val="20"/>
          <w:szCs w:val="20"/>
          <w:lang w:val="en-GB"/>
        </w:rPr>
      </w:pPr>
      <w:r w:rsidRPr="00632CFE">
        <w:rPr>
          <w:rStyle w:val="in-revue"/>
          <w:sz w:val="20"/>
          <w:szCs w:val="20"/>
          <w:lang w:val="en-GB"/>
        </w:rPr>
        <w:t xml:space="preserve">Morocco (2021): </w:t>
      </w:r>
      <w:r w:rsidRPr="00632CFE">
        <w:rPr>
          <w:sz w:val="20"/>
          <w:szCs w:val="20"/>
          <w:lang w:val="en-GB"/>
        </w:rPr>
        <w:t>Upper middle class 21.5. Lower middle class 48.2</w:t>
      </w:r>
    </w:p>
    <w:p w:rsidR="00E016E1" w:rsidRPr="00632CFE" w:rsidRDefault="00E016E1" w:rsidP="00E016E1">
      <w:pPr>
        <w:jc w:val="both"/>
        <w:rPr>
          <w:b/>
          <w:sz w:val="20"/>
          <w:szCs w:val="20"/>
          <w:lang w:val="en-GB"/>
        </w:rPr>
      </w:pPr>
      <w:r w:rsidRPr="00632CFE">
        <w:rPr>
          <w:i/>
          <w:sz w:val="20"/>
          <w:szCs w:val="20"/>
          <w:lang w:val="en-GB"/>
        </w:rPr>
        <w:t>Source:</w:t>
      </w:r>
      <w:r w:rsidRPr="00632CFE">
        <w:rPr>
          <w:b/>
          <w:sz w:val="20"/>
          <w:szCs w:val="20"/>
          <w:lang w:val="en-GB"/>
        </w:rPr>
        <w:t xml:space="preserve"> </w:t>
      </w:r>
      <w:r w:rsidRPr="00632CFE">
        <w:rPr>
          <w:sz w:val="20"/>
          <w:szCs w:val="20"/>
          <w:shd w:val="clear" w:color="auto" w:fill="FFFFFF"/>
          <w:lang w:val="en-GB"/>
        </w:rPr>
        <w:t>WVS Wave 7 (2017-2022)</w:t>
      </w:r>
      <w:r w:rsidRPr="00632CFE">
        <w:rPr>
          <w:sz w:val="20"/>
          <w:szCs w:val="20"/>
          <w:lang w:val="en-GB"/>
        </w:rPr>
        <w:t> </w:t>
      </w:r>
    </w:p>
    <w:p w:rsidR="00E016E1" w:rsidRPr="002A5969" w:rsidRDefault="00E016E1" w:rsidP="00F150B6">
      <w:pPr>
        <w:spacing w:before="120" w:after="120"/>
        <w:jc w:val="both"/>
        <w:rPr>
          <w:lang w:val="en-GB"/>
        </w:rPr>
      </w:pPr>
      <w:r w:rsidRPr="002A5969">
        <w:rPr>
          <w:b/>
          <w:lang w:val="en-GB"/>
        </w:rPr>
        <w:t xml:space="preserve">Topics </w:t>
      </w:r>
      <w:r w:rsidRPr="002A5969">
        <w:rPr>
          <w:lang w:val="en-GB"/>
        </w:rPr>
        <w:t>(</w:t>
      </w:r>
      <w:r>
        <w:rPr>
          <w:lang w:val="en-GB"/>
        </w:rPr>
        <w:t>selected</w:t>
      </w:r>
      <w:r w:rsidRPr="002A5969">
        <w:rPr>
          <w:lang w:val="en-GB"/>
        </w:rPr>
        <w:t xml:space="preserve"> list not limited to)</w:t>
      </w:r>
    </w:p>
    <w:p w:rsidR="00E016E1" w:rsidRPr="002A5969" w:rsidRDefault="00E016E1" w:rsidP="00E016E1">
      <w:pPr>
        <w:spacing w:after="120"/>
        <w:jc w:val="both"/>
        <w:rPr>
          <w:lang w:val="en-GB"/>
        </w:rPr>
      </w:pPr>
      <w:r w:rsidRPr="002A5969">
        <w:rPr>
          <w:lang w:val="en-GB"/>
        </w:rPr>
        <w:t>Classify, measure and explain the middle classes and their components. The political approach at the level of a Maghreb and/or the Mashreq country.</w:t>
      </w:r>
    </w:p>
    <w:p w:rsidR="00E016E1" w:rsidRPr="002A5969" w:rsidRDefault="00E016E1" w:rsidP="00E016E1">
      <w:pPr>
        <w:spacing w:after="120"/>
        <w:jc w:val="both"/>
        <w:rPr>
          <w:lang w:val="en-GB"/>
        </w:rPr>
      </w:pPr>
      <w:r w:rsidRPr="002A5969">
        <w:rPr>
          <w:lang w:val="en-GB"/>
        </w:rPr>
        <w:t xml:space="preserve">Classify, measure, explain the middle classes and their components. The sociological approach of a Maghreb and/or </w:t>
      </w:r>
      <w:r w:rsidR="00A26BB7">
        <w:rPr>
          <w:lang w:val="en-GB"/>
        </w:rPr>
        <w:t>a</w:t>
      </w:r>
      <w:r w:rsidRPr="002A5969">
        <w:rPr>
          <w:lang w:val="en-GB"/>
        </w:rPr>
        <w:t xml:space="preserve"> Mashreq country</w:t>
      </w:r>
      <w:r w:rsidR="00A26BB7">
        <w:rPr>
          <w:lang w:val="en-GB"/>
        </w:rPr>
        <w:t>-level</w:t>
      </w:r>
      <w:r w:rsidRPr="002A5969">
        <w:rPr>
          <w:lang w:val="en-GB"/>
        </w:rPr>
        <w:t>.</w:t>
      </w:r>
    </w:p>
    <w:p w:rsidR="00E016E1" w:rsidRPr="002A5969" w:rsidRDefault="00E016E1" w:rsidP="00E016E1">
      <w:pPr>
        <w:spacing w:after="120"/>
        <w:jc w:val="both"/>
        <w:rPr>
          <w:lang w:val="en-GB"/>
        </w:rPr>
      </w:pPr>
      <w:r w:rsidRPr="002A5969">
        <w:rPr>
          <w:lang w:val="en-GB"/>
        </w:rPr>
        <w:t xml:space="preserve">Classify, measure and explain the middle classes and their components. The economic approach at the level of a Maghreb and/or </w:t>
      </w:r>
      <w:r w:rsidR="00B86554">
        <w:rPr>
          <w:lang w:val="en-GB"/>
        </w:rPr>
        <w:t xml:space="preserve">a </w:t>
      </w:r>
      <w:r w:rsidRPr="002A5969">
        <w:rPr>
          <w:lang w:val="en-GB"/>
        </w:rPr>
        <w:t>Mashreq country.</w:t>
      </w:r>
    </w:p>
    <w:p w:rsidR="00E016E1" w:rsidRPr="002A5969" w:rsidRDefault="00E016E1" w:rsidP="00E016E1">
      <w:pPr>
        <w:spacing w:after="120"/>
        <w:jc w:val="both"/>
        <w:rPr>
          <w:lang w:val="en-GB"/>
        </w:rPr>
      </w:pPr>
      <w:r w:rsidRPr="002A5969">
        <w:rPr>
          <w:lang w:val="en-GB"/>
        </w:rPr>
        <w:t>Is migration a brain drain that tend</w:t>
      </w:r>
      <w:r w:rsidR="00B33F52">
        <w:rPr>
          <w:lang w:val="en-GB"/>
        </w:rPr>
        <w:t>s</w:t>
      </w:r>
      <w:r w:rsidRPr="002A5969">
        <w:rPr>
          <w:lang w:val="en-GB"/>
        </w:rPr>
        <w:t xml:space="preserve"> to shrink the middle classes, with respect to Maghreb and/or Mashreq countr</w:t>
      </w:r>
      <w:r w:rsidR="00A26BB7">
        <w:rPr>
          <w:lang w:val="en-GB"/>
        </w:rPr>
        <w:t>ies</w:t>
      </w:r>
      <w:r w:rsidRPr="002A5969">
        <w:rPr>
          <w:lang w:val="en-GB"/>
        </w:rPr>
        <w:t xml:space="preserve">? </w:t>
      </w:r>
    </w:p>
    <w:p w:rsidR="00E016E1" w:rsidRPr="002A5969" w:rsidRDefault="00E016E1" w:rsidP="00E016E1">
      <w:pPr>
        <w:jc w:val="both"/>
        <w:rPr>
          <w:lang w:val="en-GB"/>
        </w:rPr>
      </w:pPr>
      <w:r w:rsidRPr="002A5969">
        <w:rPr>
          <w:lang w:val="en-GB"/>
        </w:rPr>
        <w:t xml:space="preserve">Does the </w:t>
      </w:r>
      <w:r w:rsidR="00B33F52">
        <w:rPr>
          <w:lang w:val="en-GB"/>
        </w:rPr>
        <w:t>rise in</w:t>
      </w:r>
      <w:r w:rsidRPr="002A5969">
        <w:rPr>
          <w:lang w:val="en-GB"/>
        </w:rPr>
        <w:t xml:space="preserve"> the public sector bolster the growth of the middle classes? Comparative analysis of trends at the</w:t>
      </w:r>
      <w:r w:rsidR="00B86554">
        <w:rPr>
          <w:lang w:val="en-GB"/>
        </w:rPr>
        <w:t xml:space="preserve"> regional level (</w:t>
      </w:r>
      <w:r w:rsidRPr="002A5969">
        <w:rPr>
          <w:lang w:val="en-GB"/>
        </w:rPr>
        <w:t>Maghreb and/or Mashreq</w:t>
      </w:r>
      <w:r w:rsidR="00B86554">
        <w:rPr>
          <w:lang w:val="en-GB"/>
        </w:rPr>
        <w:t>)</w:t>
      </w:r>
      <w:r w:rsidRPr="002A5969">
        <w:rPr>
          <w:lang w:val="en-GB"/>
        </w:rPr>
        <w:t>.</w:t>
      </w:r>
    </w:p>
    <w:p w:rsidR="00E016E1" w:rsidRPr="002A5969" w:rsidRDefault="00E016E1" w:rsidP="00E016E1">
      <w:pPr>
        <w:spacing w:before="120"/>
        <w:jc w:val="both"/>
        <w:rPr>
          <w:lang w:val="en-GB"/>
        </w:rPr>
      </w:pPr>
      <w:r w:rsidRPr="002A5969">
        <w:rPr>
          <w:lang w:val="en-GB"/>
        </w:rPr>
        <w:t xml:space="preserve">With respect to the context of high inflation, is the family model of the only (male) breadwinner sustainable for maintaining the place of middle classes? </w:t>
      </w:r>
    </w:p>
    <w:p w:rsidR="00E016E1" w:rsidRPr="002A5969" w:rsidRDefault="00E016E1" w:rsidP="00E016E1">
      <w:pPr>
        <w:spacing w:before="120"/>
        <w:jc w:val="both"/>
        <w:rPr>
          <w:lang w:val="en-GB"/>
        </w:rPr>
      </w:pPr>
      <w:r w:rsidRPr="002A5969">
        <w:rPr>
          <w:lang w:val="en-GB"/>
        </w:rPr>
        <w:t>Is education the essential determinant of the growth of the middle class, for both men and working women? What is the relationship between education and access to jobs? What is the role of family norms in this respect?</w:t>
      </w:r>
    </w:p>
    <w:p w:rsidR="0099195B" w:rsidRDefault="0099195B">
      <w:pPr>
        <w:spacing w:after="160" w:line="259" w:lineRule="auto"/>
        <w:rPr>
          <w:b/>
          <w:lang w:val="en-GB"/>
        </w:rPr>
      </w:pPr>
      <w:r>
        <w:rPr>
          <w:b/>
          <w:lang w:val="en-GB"/>
        </w:rPr>
        <w:br w:type="page"/>
      </w:r>
    </w:p>
    <w:p w:rsidR="00E016E1" w:rsidRPr="006826E8" w:rsidRDefault="00E016E1" w:rsidP="0099195B">
      <w:pPr>
        <w:pBdr>
          <w:top w:val="single" w:sz="4" w:space="1" w:color="auto"/>
          <w:left w:val="single" w:sz="4" w:space="4" w:color="auto"/>
          <w:bottom w:val="single" w:sz="4" w:space="1" w:color="auto"/>
          <w:right w:val="single" w:sz="4" w:space="4" w:color="auto"/>
        </w:pBdr>
        <w:spacing w:before="120" w:after="120"/>
        <w:jc w:val="both"/>
        <w:rPr>
          <w:b/>
          <w:sz w:val="22"/>
          <w:szCs w:val="22"/>
          <w:lang w:val="en-GB"/>
        </w:rPr>
      </w:pPr>
      <w:r w:rsidRPr="006826E8">
        <w:rPr>
          <w:b/>
          <w:sz w:val="22"/>
          <w:szCs w:val="22"/>
          <w:lang w:val="en-GB"/>
        </w:rPr>
        <w:lastRenderedPageBreak/>
        <w:t>Proposal</w:t>
      </w:r>
    </w:p>
    <w:p w:rsidR="00F150B6" w:rsidRPr="006826E8" w:rsidRDefault="00E016E1" w:rsidP="0099195B">
      <w:pPr>
        <w:pBdr>
          <w:top w:val="single" w:sz="4" w:space="1" w:color="auto"/>
          <w:left w:val="single" w:sz="4" w:space="4" w:color="auto"/>
          <w:bottom w:val="single" w:sz="4" w:space="1" w:color="auto"/>
          <w:right w:val="single" w:sz="4" w:space="4" w:color="auto"/>
        </w:pBdr>
        <w:spacing w:before="120" w:after="120"/>
        <w:jc w:val="both"/>
        <w:rPr>
          <w:sz w:val="22"/>
          <w:szCs w:val="22"/>
          <w:lang w:val="en-GB"/>
        </w:rPr>
      </w:pPr>
      <w:r w:rsidRPr="006826E8">
        <w:rPr>
          <w:sz w:val="22"/>
          <w:szCs w:val="22"/>
          <w:lang w:val="en-GB"/>
        </w:rPr>
        <w:t xml:space="preserve">It consists in two pages (1,000 words) presenting the research question, the sources and </w:t>
      </w:r>
    </w:p>
    <w:p w:rsidR="00E016E1" w:rsidRPr="006826E8" w:rsidRDefault="00E016E1" w:rsidP="0099195B">
      <w:pPr>
        <w:pBdr>
          <w:top w:val="single" w:sz="4" w:space="1" w:color="auto"/>
          <w:left w:val="single" w:sz="4" w:space="4" w:color="auto"/>
          <w:bottom w:val="single" w:sz="4" w:space="1" w:color="auto"/>
          <w:right w:val="single" w:sz="4" w:space="4" w:color="auto"/>
        </w:pBdr>
        <w:spacing w:before="120" w:after="120"/>
        <w:jc w:val="both"/>
        <w:rPr>
          <w:sz w:val="22"/>
          <w:szCs w:val="22"/>
          <w:lang w:val="en-GB"/>
        </w:rPr>
      </w:pPr>
      <w:r w:rsidRPr="006826E8">
        <w:rPr>
          <w:sz w:val="22"/>
          <w:szCs w:val="22"/>
          <w:lang w:val="en-GB"/>
        </w:rPr>
        <w:t xml:space="preserve">methodology used, the expected results and a list of less than 10 selected references. </w:t>
      </w:r>
    </w:p>
    <w:p w:rsidR="00E016E1" w:rsidRPr="006826E8" w:rsidRDefault="00E016E1" w:rsidP="0099195B">
      <w:pPr>
        <w:pBdr>
          <w:top w:val="single" w:sz="4" w:space="1" w:color="auto"/>
          <w:left w:val="single" w:sz="4" w:space="4" w:color="auto"/>
          <w:bottom w:val="single" w:sz="4" w:space="1" w:color="auto"/>
          <w:right w:val="single" w:sz="4" w:space="4" w:color="auto"/>
        </w:pBdr>
        <w:spacing w:after="120"/>
        <w:jc w:val="both"/>
        <w:textAlignment w:val="top"/>
        <w:rPr>
          <w:color w:val="000000"/>
          <w:sz w:val="22"/>
          <w:szCs w:val="22"/>
          <w:lang w:val="en-GB"/>
        </w:rPr>
      </w:pPr>
      <w:r w:rsidRPr="006826E8">
        <w:rPr>
          <w:sz w:val="22"/>
          <w:szCs w:val="22"/>
          <w:lang w:val="en-GB"/>
        </w:rPr>
        <w:t xml:space="preserve">Please send to: </w:t>
      </w:r>
      <w:r w:rsidRPr="006826E8">
        <w:rPr>
          <w:color w:val="000000"/>
          <w:sz w:val="22"/>
          <w:szCs w:val="22"/>
          <w:lang w:val="en-GB"/>
        </w:rPr>
        <w:t xml:space="preserve">Philippe Adair </w:t>
      </w:r>
      <w:hyperlink r:id="rId15" w:history="1">
        <w:r w:rsidRPr="006826E8">
          <w:rPr>
            <w:rStyle w:val="Lienhypertexte"/>
            <w:sz w:val="22"/>
            <w:szCs w:val="22"/>
            <w:lang w:val="en-GB"/>
          </w:rPr>
          <w:t>adair@u-pec.fr</w:t>
        </w:r>
      </w:hyperlink>
    </w:p>
    <w:p w:rsidR="00E016E1" w:rsidRPr="006826E8" w:rsidRDefault="00E016E1" w:rsidP="0099195B">
      <w:pPr>
        <w:pBdr>
          <w:top w:val="single" w:sz="4" w:space="1" w:color="auto"/>
          <w:left w:val="single" w:sz="4" w:space="4" w:color="auto"/>
          <w:bottom w:val="single" w:sz="4" w:space="1" w:color="auto"/>
          <w:right w:val="single" w:sz="4" w:space="4" w:color="auto"/>
        </w:pBdr>
        <w:spacing w:before="120" w:after="120"/>
        <w:jc w:val="both"/>
        <w:rPr>
          <w:b/>
          <w:sz w:val="22"/>
          <w:szCs w:val="22"/>
          <w:lang w:val="en-GB"/>
        </w:rPr>
      </w:pPr>
      <w:r w:rsidRPr="006826E8">
        <w:rPr>
          <w:b/>
          <w:sz w:val="22"/>
          <w:szCs w:val="22"/>
          <w:lang w:val="en-GB"/>
        </w:rPr>
        <w:t>Key dates</w:t>
      </w:r>
    </w:p>
    <w:p w:rsidR="00F150B6" w:rsidRPr="006826E8" w:rsidRDefault="00F150B6" w:rsidP="0099195B">
      <w:pPr>
        <w:pBdr>
          <w:top w:val="single" w:sz="4" w:space="1" w:color="auto"/>
          <w:left w:val="single" w:sz="4" w:space="4" w:color="auto"/>
          <w:bottom w:val="single" w:sz="4" w:space="1" w:color="auto"/>
          <w:right w:val="single" w:sz="4" w:space="4" w:color="auto"/>
        </w:pBdr>
        <w:spacing w:after="120"/>
        <w:jc w:val="both"/>
        <w:rPr>
          <w:sz w:val="22"/>
          <w:szCs w:val="22"/>
          <w:lang w:val="en-GB"/>
        </w:rPr>
      </w:pPr>
      <w:r w:rsidRPr="006826E8">
        <w:rPr>
          <w:sz w:val="22"/>
          <w:szCs w:val="22"/>
          <w:lang w:val="en-GB"/>
        </w:rPr>
        <w:t>Receipt of proposal</w:t>
      </w:r>
      <w:r w:rsidR="00B33F52" w:rsidRPr="006826E8">
        <w:rPr>
          <w:sz w:val="22"/>
          <w:szCs w:val="22"/>
          <w:lang w:val="en-GB"/>
        </w:rPr>
        <w:t xml:space="preserve">s: </w:t>
      </w:r>
      <w:r w:rsidRPr="00017354">
        <w:rPr>
          <w:b/>
          <w:sz w:val="22"/>
          <w:szCs w:val="22"/>
          <w:lang w:val="en-GB"/>
        </w:rPr>
        <w:t>March 1</w:t>
      </w:r>
      <w:r w:rsidR="00B33F52" w:rsidRPr="00017354">
        <w:rPr>
          <w:b/>
          <w:sz w:val="22"/>
          <w:szCs w:val="22"/>
          <w:lang w:val="en-GB"/>
        </w:rPr>
        <w:t>5</w:t>
      </w:r>
      <w:r w:rsidRPr="006826E8">
        <w:rPr>
          <w:sz w:val="22"/>
          <w:szCs w:val="22"/>
          <w:lang w:val="en-GB"/>
        </w:rPr>
        <w:t xml:space="preserve">, 2023 </w:t>
      </w:r>
    </w:p>
    <w:p w:rsidR="00F150B6" w:rsidRPr="006826E8" w:rsidRDefault="00F150B6" w:rsidP="0099195B">
      <w:pPr>
        <w:pBdr>
          <w:top w:val="single" w:sz="4" w:space="1" w:color="auto"/>
          <w:left w:val="single" w:sz="4" w:space="4" w:color="auto"/>
          <w:bottom w:val="single" w:sz="4" w:space="1" w:color="auto"/>
          <w:right w:val="single" w:sz="4" w:space="4" w:color="auto"/>
        </w:pBdr>
        <w:spacing w:after="120"/>
        <w:jc w:val="both"/>
        <w:rPr>
          <w:sz w:val="22"/>
          <w:szCs w:val="22"/>
          <w:lang w:val="en-GB"/>
        </w:rPr>
      </w:pPr>
      <w:r w:rsidRPr="006826E8">
        <w:rPr>
          <w:sz w:val="22"/>
          <w:szCs w:val="22"/>
          <w:lang w:val="en-GB"/>
        </w:rPr>
        <w:t xml:space="preserve">Assessment by the </w:t>
      </w:r>
      <w:r w:rsidR="00B33F52" w:rsidRPr="006826E8">
        <w:rPr>
          <w:sz w:val="22"/>
          <w:szCs w:val="22"/>
          <w:lang w:val="en-GB"/>
        </w:rPr>
        <w:t xml:space="preserve">Scientific Committee: </w:t>
      </w:r>
      <w:r w:rsidRPr="00017354">
        <w:rPr>
          <w:b/>
          <w:sz w:val="22"/>
          <w:szCs w:val="22"/>
          <w:lang w:val="en-GB"/>
        </w:rPr>
        <w:t xml:space="preserve">March </w:t>
      </w:r>
      <w:r w:rsidR="00B33F52" w:rsidRPr="00017354">
        <w:rPr>
          <w:b/>
          <w:sz w:val="22"/>
          <w:szCs w:val="22"/>
          <w:lang w:val="en-GB"/>
        </w:rPr>
        <w:t>30</w:t>
      </w:r>
      <w:r w:rsidRPr="006826E8">
        <w:rPr>
          <w:sz w:val="22"/>
          <w:szCs w:val="22"/>
          <w:lang w:val="en-GB"/>
        </w:rPr>
        <w:t>, 2023</w:t>
      </w:r>
    </w:p>
    <w:p w:rsidR="00F150B6" w:rsidRDefault="00B33F52" w:rsidP="0099195B">
      <w:pPr>
        <w:pBdr>
          <w:top w:val="single" w:sz="4" w:space="1" w:color="auto"/>
          <w:left w:val="single" w:sz="4" w:space="4" w:color="auto"/>
          <w:bottom w:val="single" w:sz="4" w:space="1" w:color="auto"/>
          <w:right w:val="single" w:sz="4" w:space="4" w:color="auto"/>
        </w:pBdr>
        <w:spacing w:after="120"/>
        <w:jc w:val="both"/>
        <w:rPr>
          <w:sz w:val="22"/>
          <w:szCs w:val="22"/>
          <w:lang w:val="en-GB"/>
        </w:rPr>
      </w:pPr>
      <w:r w:rsidRPr="006826E8">
        <w:rPr>
          <w:sz w:val="22"/>
          <w:szCs w:val="22"/>
          <w:lang w:val="en-GB"/>
        </w:rPr>
        <w:t>Regist</w:t>
      </w:r>
      <w:r w:rsidR="00F150B6" w:rsidRPr="006826E8">
        <w:rPr>
          <w:sz w:val="22"/>
          <w:szCs w:val="22"/>
          <w:lang w:val="en-GB"/>
        </w:rPr>
        <w:t>r</w:t>
      </w:r>
      <w:r w:rsidRPr="006826E8">
        <w:rPr>
          <w:sz w:val="22"/>
          <w:szCs w:val="22"/>
          <w:lang w:val="en-GB"/>
        </w:rPr>
        <w:t>ation to</w:t>
      </w:r>
      <w:r w:rsidR="00F150B6" w:rsidRPr="006826E8">
        <w:rPr>
          <w:sz w:val="22"/>
          <w:szCs w:val="22"/>
          <w:lang w:val="en-GB"/>
        </w:rPr>
        <w:t xml:space="preserve"> the workshop</w:t>
      </w:r>
      <w:r w:rsidRPr="006826E8">
        <w:rPr>
          <w:sz w:val="22"/>
          <w:szCs w:val="22"/>
          <w:lang w:val="en-GB"/>
        </w:rPr>
        <w:t xml:space="preserve"> (free</w:t>
      </w:r>
      <w:r w:rsidR="002D2803">
        <w:rPr>
          <w:sz w:val="22"/>
          <w:szCs w:val="22"/>
          <w:lang w:val="en-GB"/>
        </w:rPr>
        <w:t xml:space="preserve"> but compulsory) on the website</w:t>
      </w:r>
      <w:r w:rsidRPr="006826E8">
        <w:rPr>
          <w:sz w:val="22"/>
          <w:szCs w:val="22"/>
          <w:lang w:val="en-GB"/>
        </w:rPr>
        <w:t xml:space="preserve">: </w:t>
      </w:r>
      <w:r w:rsidR="00C5733A">
        <w:rPr>
          <w:b/>
          <w:sz w:val="22"/>
          <w:szCs w:val="22"/>
          <w:lang w:val="en-GB"/>
        </w:rPr>
        <w:t>April 10</w:t>
      </w:r>
      <w:r w:rsidRPr="006826E8">
        <w:rPr>
          <w:sz w:val="22"/>
          <w:szCs w:val="22"/>
          <w:lang w:val="en-GB"/>
        </w:rPr>
        <w:t>, 2023</w:t>
      </w:r>
    </w:p>
    <w:p w:rsidR="00A44C7E" w:rsidRPr="00A44C7E" w:rsidRDefault="00A44C7E" w:rsidP="0099195B">
      <w:pPr>
        <w:pBdr>
          <w:top w:val="single" w:sz="4" w:space="1" w:color="auto"/>
          <w:left w:val="single" w:sz="4" w:space="4" w:color="auto"/>
          <w:bottom w:val="single" w:sz="4" w:space="1" w:color="auto"/>
          <w:right w:val="single" w:sz="4" w:space="4" w:color="auto"/>
        </w:pBdr>
        <w:spacing w:after="120"/>
        <w:jc w:val="both"/>
        <w:rPr>
          <w:sz w:val="22"/>
          <w:szCs w:val="22"/>
          <w:lang w:val="en-GB"/>
        </w:rPr>
      </w:pPr>
      <w:hyperlink r:id="rId16" w:tgtFrame="_blank" w:history="1">
        <w:r w:rsidRPr="00A44C7E">
          <w:rPr>
            <w:rStyle w:val="Lienhypertexte"/>
            <w:color w:val="55516F"/>
            <w:sz w:val="22"/>
            <w:szCs w:val="22"/>
            <w:shd w:val="clear" w:color="auto" w:fill="FDFDFD"/>
          </w:rPr>
          <w:t>https://creg.univ-grenoble-alpes.fr/actualites/worshop-middle-classes-mena</w:t>
        </w:r>
      </w:hyperlink>
    </w:p>
    <w:p w:rsidR="00017354" w:rsidRPr="006826E8" w:rsidRDefault="00017354" w:rsidP="00017354">
      <w:pPr>
        <w:pBdr>
          <w:top w:val="single" w:sz="4" w:space="1" w:color="auto"/>
          <w:left w:val="single" w:sz="4" w:space="4" w:color="auto"/>
          <w:bottom w:val="single" w:sz="4" w:space="1" w:color="auto"/>
          <w:right w:val="single" w:sz="4" w:space="4" w:color="auto"/>
        </w:pBdr>
        <w:spacing w:after="120"/>
        <w:jc w:val="both"/>
        <w:rPr>
          <w:sz w:val="22"/>
          <w:szCs w:val="22"/>
          <w:lang w:val="en-GB"/>
        </w:rPr>
      </w:pPr>
      <w:r w:rsidRPr="006826E8">
        <w:rPr>
          <w:sz w:val="22"/>
          <w:szCs w:val="22"/>
          <w:lang w:val="en-GB"/>
        </w:rPr>
        <w:t xml:space="preserve">Full text receipt: </w:t>
      </w:r>
      <w:r w:rsidRPr="00017354">
        <w:rPr>
          <w:b/>
          <w:sz w:val="22"/>
          <w:szCs w:val="22"/>
          <w:lang w:val="en-GB"/>
        </w:rPr>
        <w:t>May 13</w:t>
      </w:r>
      <w:r w:rsidRPr="006826E8">
        <w:rPr>
          <w:sz w:val="22"/>
          <w:szCs w:val="22"/>
          <w:lang w:val="en-GB"/>
        </w:rPr>
        <w:t>, 2023</w:t>
      </w:r>
    </w:p>
    <w:p w:rsidR="00C5733A" w:rsidRDefault="00B33F52" w:rsidP="0099195B">
      <w:pPr>
        <w:pBdr>
          <w:top w:val="single" w:sz="4" w:space="1" w:color="auto"/>
          <w:left w:val="single" w:sz="4" w:space="4" w:color="auto"/>
          <w:bottom w:val="single" w:sz="4" w:space="1" w:color="auto"/>
          <w:right w:val="single" w:sz="4" w:space="4" w:color="auto"/>
        </w:pBdr>
        <w:spacing w:after="120"/>
        <w:jc w:val="both"/>
        <w:rPr>
          <w:color w:val="000000"/>
          <w:sz w:val="22"/>
          <w:szCs w:val="22"/>
          <w:lang w:val="en-GB"/>
        </w:rPr>
      </w:pPr>
      <w:r w:rsidRPr="006826E8">
        <w:rPr>
          <w:sz w:val="22"/>
          <w:szCs w:val="22"/>
          <w:lang w:val="en-GB"/>
        </w:rPr>
        <w:t>The workshop takes place</w:t>
      </w:r>
      <w:r w:rsidRPr="006826E8">
        <w:rPr>
          <w:color w:val="000000"/>
          <w:sz w:val="22"/>
          <w:szCs w:val="22"/>
          <w:lang w:val="en-GB"/>
        </w:rPr>
        <w:t xml:space="preserve">, </w:t>
      </w:r>
      <w:r w:rsidRPr="006826E8">
        <w:rPr>
          <w:sz w:val="22"/>
          <w:szCs w:val="22"/>
          <w:lang w:val="en-GB"/>
        </w:rPr>
        <w:t xml:space="preserve">in person and online, </w:t>
      </w:r>
      <w:r w:rsidR="00F150B6" w:rsidRPr="006826E8">
        <w:rPr>
          <w:sz w:val="22"/>
          <w:szCs w:val="22"/>
          <w:lang w:val="en-GB"/>
        </w:rPr>
        <w:t>on</w:t>
      </w:r>
      <w:r w:rsidRPr="006826E8">
        <w:rPr>
          <w:sz w:val="22"/>
          <w:szCs w:val="22"/>
          <w:lang w:val="en-GB"/>
        </w:rPr>
        <w:t xml:space="preserve"> </w:t>
      </w:r>
      <w:r w:rsidRPr="00A42BE2">
        <w:rPr>
          <w:b/>
          <w:sz w:val="22"/>
          <w:szCs w:val="22"/>
          <w:lang w:val="en-GB"/>
        </w:rPr>
        <w:t>May 26</w:t>
      </w:r>
      <w:r w:rsidRPr="006826E8">
        <w:rPr>
          <w:sz w:val="22"/>
          <w:szCs w:val="22"/>
          <w:lang w:val="en-GB"/>
        </w:rPr>
        <w:t xml:space="preserve"> at the </w:t>
      </w:r>
      <w:r w:rsidRPr="006826E8">
        <w:rPr>
          <w:color w:val="000000"/>
          <w:sz w:val="22"/>
          <w:szCs w:val="22"/>
          <w:lang w:val="en-GB"/>
        </w:rPr>
        <w:t xml:space="preserve">University Grenoble-Alpes, </w:t>
      </w:r>
      <w:r w:rsidR="004D78E8">
        <w:rPr>
          <w:color w:val="000000"/>
          <w:sz w:val="22"/>
          <w:szCs w:val="22"/>
          <w:lang w:val="en-GB"/>
        </w:rPr>
        <w:t>branch of</w:t>
      </w:r>
      <w:r w:rsidRPr="006826E8">
        <w:rPr>
          <w:color w:val="000000"/>
          <w:sz w:val="22"/>
          <w:szCs w:val="22"/>
          <w:lang w:val="en-GB"/>
        </w:rPr>
        <w:t xml:space="preserve"> Valence</w:t>
      </w:r>
      <w:r w:rsidR="00C5733A">
        <w:rPr>
          <w:color w:val="000000"/>
          <w:sz w:val="22"/>
          <w:szCs w:val="22"/>
          <w:lang w:val="en-GB"/>
        </w:rPr>
        <w:t>.</w:t>
      </w:r>
    </w:p>
    <w:p w:rsidR="00C5733A" w:rsidRPr="00C5733A" w:rsidRDefault="00C5733A" w:rsidP="00A07199">
      <w:pPr>
        <w:rPr>
          <w:sz w:val="16"/>
          <w:szCs w:val="16"/>
          <w:lang w:val="en-GB"/>
        </w:rPr>
      </w:pPr>
    </w:p>
    <w:p w:rsidR="00C5733A" w:rsidRPr="00C5733A" w:rsidRDefault="00C5733A" w:rsidP="00C5733A">
      <w:pPr>
        <w:pBdr>
          <w:top w:val="single" w:sz="4" w:space="1" w:color="auto"/>
          <w:left w:val="single" w:sz="4" w:space="4" w:color="auto"/>
          <w:bottom w:val="single" w:sz="4" w:space="1" w:color="auto"/>
          <w:right w:val="single" w:sz="4" w:space="4" w:color="auto"/>
        </w:pBdr>
        <w:jc w:val="both"/>
        <w:rPr>
          <w:color w:val="000000"/>
          <w:sz w:val="22"/>
          <w:szCs w:val="22"/>
          <w:lang w:val="en-GB"/>
        </w:rPr>
      </w:pPr>
      <w:r w:rsidRPr="006826E8">
        <w:rPr>
          <w:sz w:val="22"/>
          <w:szCs w:val="22"/>
          <w:u w:val="single"/>
          <w:lang w:val="en-GB"/>
        </w:rPr>
        <w:t>Steering Committee</w:t>
      </w:r>
      <w:r w:rsidRPr="00C5733A">
        <w:rPr>
          <w:color w:val="000000"/>
          <w:sz w:val="22"/>
          <w:szCs w:val="22"/>
          <w:lang w:val="en-GB"/>
        </w:rPr>
        <w:t>: Céline BONNEFOND</w:t>
      </w:r>
      <w:r w:rsidR="00A42BE2">
        <w:rPr>
          <w:color w:val="000000"/>
          <w:sz w:val="22"/>
          <w:szCs w:val="22"/>
          <w:lang w:val="en-GB"/>
        </w:rPr>
        <w:t>;</w:t>
      </w:r>
      <w:r w:rsidRPr="00C5733A">
        <w:rPr>
          <w:color w:val="000000"/>
          <w:sz w:val="22"/>
          <w:szCs w:val="22"/>
          <w:lang w:val="en-GB"/>
        </w:rPr>
        <w:t xml:space="preserve"> </w:t>
      </w:r>
      <w:proofErr w:type="spellStart"/>
      <w:r w:rsidRPr="00C5733A">
        <w:rPr>
          <w:color w:val="000000"/>
          <w:sz w:val="22"/>
          <w:szCs w:val="22"/>
          <w:lang w:val="en-GB"/>
        </w:rPr>
        <w:t>Tsiry</w:t>
      </w:r>
      <w:proofErr w:type="spellEnd"/>
      <w:r w:rsidRPr="00C5733A">
        <w:rPr>
          <w:color w:val="000000"/>
          <w:sz w:val="22"/>
          <w:szCs w:val="22"/>
          <w:lang w:val="en-GB"/>
        </w:rPr>
        <w:t xml:space="preserve"> ANDRIANAMPIARIVO</w:t>
      </w:r>
      <w:r w:rsidR="00A42BE2">
        <w:rPr>
          <w:color w:val="000000"/>
          <w:sz w:val="22"/>
          <w:szCs w:val="22"/>
          <w:lang w:val="en-GB"/>
        </w:rPr>
        <w:t>;</w:t>
      </w:r>
      <w:r w:rsidRPr="00C5733A">
        <w:rPr>
          <w:color w:val="000000"/>
          <w:sz w:val="22"/>
          <w:szCs w:val="22"/>
          <w:lang w:val="en-GB"/>
        </w:rPr>
        <w:t xml:space="preserve"> Adrien FAUDOT</w:t>
      </w:r>
      <w:r w:rsidR="00A42BE2">
        <w:rPr>
          <w:color w:val="000000"/>
          <w:sz w:val="22"/>
          <w:szCs w:val="22"/>
          <w:lang w:val="en-GB"/>
        </w:rPr>
        <w:t>;</w:t>
      </w:r>
      <w:r w:rsidRPr="00C5733A">
        <w:rPr>
          <w:color w:val="000000"/>
          <w:sz w:val="22"/>
          <w:szCs w:val="22"/>
          <w:lang w:val="en-GB"/>
        </w:rPr>
        <w:t xml:space="preserve"> </w:t>
      </w:r>
      <w:proofErr w:type="spellStart"/>
      <w:r w:rsidRPr="00C5733A">
        <w:rPr>
          <w:color w:val="000000"/>
          <w:sz w:val="22"/>
          <w:szCs w:val="22"/>
          <w:lang w:val="en-GB"/>
        </w:rPr>
        <w:t>Donia</w:t>
      </w:r>
      <w:proofErr w:type="spellEnd"/>
      <w:r w:rsidRPr="00C5733A">
        <w:rPr>
          <w:color w:val="000000"/>
          <w:sz w:val="22"/>
          <w:szCs w:val="22"/>
          <w:lang w:val="en-GB"/>
        </w:rPr>
        <w:t xml:space="preserve"> DOWIDAR</w:t>
      </w:r>
      <w:r w:rsidR="00A42BE2">
        <w:rPr>
          <w:color w:val="000000"/>
          <w:sz w:val="22"/>
          <w:szCs w:val="22"/>
          <w:lang w:val="en-GB"/>
        </w:rPr>
        <w:t xml:space="preserve">; </w:t>
      </w:r>
      <w:proofErr w:type="spellStart"/>
      <w:r w:rsidRPr="00C5733A">
        <w:rPr>
          <w:color w:val="000000"/>
          <w:sz w:val="22"/>
          <w:szCs w:val="22"/>
          <w:lang w:val="en-GB"/>
        </w:rPr>
        <w:t>Doaa</w:t>
      </w:r>
      <w:proofErr w:type="spellEnd"/>
      <w:r w:rsidRPr="00C5733A">
        <w:rPr>
          <w:color w:val="000000"/>
          <w:sz w:val="22"/>
          <w:szCs w:val="22"/>
          <w:lang w:val="en-GB"/>
        </w:rPr>
        <w:t xml:space="preserve"> EL GEBALY</w:t>
      </w:r>
      <w:r w:rsidR="00A42BE2">
        <w:rPr>
          <w:color w:val="000000"/>
          <w:sz w:val="22"/>
          <w:szCs w:val="22"/>
          <w:lang w:val="en-GB"/>
        </w:rPr>
        <w:t>;</w:t>
      </w:r>
      <w:r w:rsidRPr="00C5733A">
        <w:rPr>
          <w:color w:val="000000"/>
          <w:sz w:val="22"/>
          <w:szCs w:val="22"/>
          <w:lang w:val="en-GB"/>
        </w:rPr>
        <w:t xml:space="preserve"> </w:t>
      </w:r>
      <w:proofErr w:type="spellStart"/>
      <w:r w:rsidRPr="00C5733A">
        <w:rPr>
          <w:color w:val="000000"/>
          <w:sz w:val="22"/>
          <w:szCs w:val="22"/>
          <w:lang w:val="en-GB"/>
        </w:rPr>
        <w:t>Soukaina</w:t>
      </w:r>
      <w:proofErr w:type="spellEnd"/>
      <w:r w:rsidRPr="00C5733A">
        <w:rPr>
          <w:color w:val="000000"/>
          <w:sz w:val="22"/>
          <w:szCs w:val="22"/>
          <w:lang w:val="en-GB"/>
        </w:rPr>
        <w:t xml:space="preserve"> RAGBI.</w:t>
      </w:r>
    </w:p>
    <w:p w:rsidR="00C5733A" w:rsidRPr="00C5733A" w:rsidRDefault="00C5733A" w:rsidP="00C5733A">
      <w:pPr>
        <w:jc w:val="both"/>
        <w:textAlignment w:val="top"/>
        <w:rPr>
          <w:color w:val="000000"/>
          <w:sz w:val="16"/>
          <w:szCs w:val="16"/>
          <w:u w:val="single"/>
          <w:lang w:val="en-GB"/>
        </w:rPr>
      </w:pPr>
    </w:p>
    <w:p w:rsidR="00C5733A" w:rsidRPr="00A42BE2" w:rsidRDefault="00C5733A" w:rsidP="00C5733A">
      <w:pPr>
        <w:pBdr>
          <w:top w:val="single" w:sz="4" w:space="1" w:color="auto"/>
          <w:left w:val="single" w:sz="4" w:space="4" w:color="auto"/>
          <w:bottom w:val="single" w:sz="4" w:space="1" w:color="auto"/>
          <w:right w:val="single" w:sz="4" w:space="4" w:color="auto"/>
        </w:pBdr>
        <w:spacing w:before="120" w:after="120"/>
        <w:jc w:val="both"/>
        <w:textAlignment w:val="top"/>
        <w:rPr>
          <w:sz w:val="22"/>
          <w:szCs w:val="22"/>
          <w:lang w:val="en-GB"/>
        </w:rPr>
      </w:pPr>
      <w:r w:rsidRPr="006826E8">
        <w:rPr>
          <w:sz w:val="22"/>
          <w:szCs w:val="22"/>
          <w:u w:val="single"/>
          <w:lang w:val="en-GB"/>
        </w:rPr>
        <w:t>Scientific Committee</w:t>
      </w:r>
      <w:r w:rsidRPr="00C5733A">
        <w:rPr>
          <w:color w:val="000000"/>
          <w:sz w:val="22"/>
          <w:szCs w:val="22"/>
          <w:lang w:val="en-GB"/>
        </w:rPr>
        <w:t xml:space="preserve">: </w:t>
      </w:r>
      <w:r w:rsidR="00A42BE2" w:rsidRPr="00A42BE2">
        <w:rPr>
          <w:color w:val="000000"/>
          <w:sz w:val="22"/>
          <w:szCs w:val="22"/>
          <w:lang w:val="en-GB"/>
        </w:rPr>
        <w:t>Ali Abdallah (CERES, Tunis)</w:t>
      </w:r>
      <w:r w:rsidR="00A42BE2">
        <w:rPr>
          <w:color w:val="000000"/>
          <w:sz w:val="22"/>
          <w:szCs w:val="22"/>
          <w:lang w:val="en-GB"/>
        </w:rPr>
        <w:t>;</w:t>
      </w:r>
      <w:r w:rsidR="00A42BE2" w:rsidRPr="00A42BE2">
        <w:rPr>
          <w:color w:val="000000"/>
          <w:sz w:val="22"/>
          <w:szCs w:val="22"/>
          <w:lang w:val="en-GB"/>
        </w:rPr>
        <w:t xml:space="preserve"> Philippe Adair (ERUDITE</w:t>
      </w:r>
      <w:r w:rsidR="00A42BE2">
        <w:rPr>
          <w:color w:val="000000"/>
          <w:sz w:val="22"/>
          <w:szCs w:val="22"/>
          <w:lang w:val="en-GB"/>
        </w:rPr>
        <w:t>,</w:t>
      </w:r>
      <w:r w:rsidR="00A42BE2" w:rsidRPr="00A42BE2">
        <w:rPr>
          <w:color w:val="000000"/>
          <w:sz w:val="22"/>
          <w:szCs w:val="22"/>
          <w:lang w:val="en-GB"/>
        </w:rPr>
        <w:t xml:space="preserve"> </w:t>
      </w:r>
      <w:proofErr w:type="spellStart"/>
      <w:r w:rsidR="00A42BE2" w:rsidRPr="00A42BE2">
        <w:rPr>
          <w:color w:val="000000"/>
          <w:sz w:val="22"/>
          <w:szCs w:val="22"/>
          <w:lang w:val="en-GB"/>
        </w:rPr>
        <w:t>Créteil</w:t>
      </w:r>
      <w:proofErr w:type="spellEnd"/>
      <w:r w:rsidR="00A42BE2" w:rsidRPr="00A42BE2">
        <w:rPr>
          <w:color w:val="000000"/>
          <w:sz w:val="22"/>
          <w:szCs w:val="22"/>
          <w:lang w:val="en-GB"/>
        </w:rPr>
        <w:t>)</w:t>
      </w:r>
      <w:r w:rsidR="00A42BE2">
        <w:rPr>
          <w:color w:val="000000"/>
          <w:sz w:val="22"/>
          <w:szCs w:val="22"/>
          <w:lang w:val="en-GB"/>
        </w:rPr>
        <w:t>;</w:t>
      </w:r>
      <w:r w:rsidR="00A42BE2" w:rsidRPr="00A42BE2">
        <w:rPr>
          <w:color w:val="000000"/>
          <w:sz w:val="22"/>
          <w:szCs w:val="22"/>
          <w:lang w:val="en-GB"/>
        </w:rPr>
        <w:t xml:space="preserve"> </w:t>
      </w:r>
      <w:r w:rsidR="00A42BE2" w:rsidRPr="00A42BE2">
        <w:rPr>
          <w:sz w:val="22"/>
          <w:szCs w:val="22"/>
          <w:lang w:val="en-GB"/>
        </w:rPr>
        <w:t xml:space="preserve">Raja </w:t>
      </w:r>
      <w:proofErr w:type="spellStart"/>
      <w:r w:rsidR="00A42BE2" w:rsidRPr="00A42BE2">
        <w:rPr>
          <w:sz w:val="22"/>
          <w:szCs w:val="22"/>
          <w:lang w:val="en-GB"/>
        </w:rPr>
        <w:t>Mejjati</w:t>
      </w:r>
      <w:proofErr w:type="spellEnd"/>
      <w:r w:rsidR="00A42BE2" w:rsidRPr="00A42BE2">
        <w:rPr>
          <w:sz w:val="22"/>
          <w:szCs w:val="22"/>
          <w:lang w:val="en-GB"/>
        </w:rPr>
        <w:t xml:space="preserve"> </w:t>
      </w:r>
      <w:proofErr w:type="spellStart"/>
      <w:r w:rsidR="00A42BE2" w:rsidRPr="00A42BE2">
        <w:rPr>
          <w:color w:val="000000"/>
          <w:sz w:val="22"/>
          <w:szCs w:val="22"/>
          <w:lang w:val="en-GB"/>
        </w:rPr>
        <w:t>Alami</w:t>
      </w:r>
      <w:proofErr w:type="spellEnd"/>
      <w:r w:rsidR="00A42BE2" w:rsidRPr="00A42BE2">
        <w:rPr>
          <w:color w:val="000000"/>
          <w:sz w:val="22"/>
          <w:szCs w:val="22"/>
          <w:lang w:val="en-GB"/>
        </w:rPr>
        <w:t xml:space="preserve"> (</w:t>
      </w:r>
      <w:r w:rsidR="00A42BE2" w:rsidRPr="00A42BE2">
        <w:rPr>
          <w:sz w:val="22"/>
          <w:szCs w:val="22"/>
          <w:lang w:val="en-GB"/>
        </w:rPr>
        <w:t>HEM</w:t>
      </w:r>
      <w:r w:rsidR="00A42BE2">
        <w:rPr>
          <w:sz w:val="22"/>
          <w:szCs w:val="22"/>
          <w:lang w:val="en-GB"/>
        </w:rPr>
        <w:t>,</w:t>
      </w:r>
      <w:r w:rsidR="00A42BE2" w:rsidRPr="00A42BE2">
        <w:rPr>
          <w:sz w:val="22"/>
          <w:szCs w:val="22"/>
          <w:lang w:val="en-GB"/>
        </w:rPr>
        <w:t xml:space="preserve"> </w:t>
      </w:r>
      <w:proofErr w:type="spellStart"/>
      <w:r w:rsidR="00A42BE2" w:rsidRPr="00A42BE2">
        <w:rPr>
          <w:sz w:val="22"/>
          <w:szCs w:val="22"/>
          <w:lang w:val="en-GB"/>
        </w:rPr>
        <w:t>Maroc</w:t>
      </w:r>
      <w:proofErr w:type="spellEnd"/>
      <w:r w:rsidR="00A42BE2" w:rsidRPr="00A42BE2">
        <w:rPr>
          <w:sz w:val="22"/>
          <w:szCs w:val="22"/>
          <w:lang w:val="en-GB"/>
        </w:rPr>
        <w:t>)</w:t>
      </w:r>
      <w:r w:rsidR="00A42BE2">
        <w:rPr>
          <w:sz w:val="22"/>
          <w:szCs w:val="22"/>
          <w:lang w:val="en-GB"/>
        </w:rPr>
        <w:t>;</w:t>
      </w:r>
      <w:r w:rsidR="00A42BE2" w:rsidRPr="00A42BE2">
        <w:rPr>
          <w:sz w:val="22"/>
          <w:szCs w:val="22"/>
          <w:lang w:val="en-GB"/>
        </w:rPr>
        <w:t xml:space="preserve"> </w:t>
      </w:r>
      <w:r w:rsidR="00A42BE2" w:rsidRPr="001B5760">
        <w:rPr>
          <w:color w:val="000000"/>
          <w:sz w:val="22"/>
          <w:szCs w:val="22"/>
          <w:lang w:val="es-ES"/>
        </w:rPr>
        <w:t xml:space="preserve">Farah Al </w:t>
      </w:r>
      <w:proofErr w:type="spellStart"/>
      <w:r w:rsidR="00A42BE2" w:rsidRPr="001B5760">
        <w:rPr>
          <w:color w:val="000000"/>
          <w:sz w:val="22"/>
          <w:szCs w:val="22"/>
          <w:lang w:val="es-ES"/>
        </w:rPr>
        <w:t>Shami</w:t>
      </w:r>
      <w:proofErr w:type="spellEnd"/>
      <w:r w:rsidR="00A42BE2" w:rsidRPr="00A42BE2">
        <w:rPr>
          <w:sz w:val="22"/>
          <w:szCs w:val="22"/>
          <w:lang w:val="en-GB"/>
        </w:rPr>
        <w:t xml:space="preserve"> (Arab Reform Initiative</w:t>
      </w:r>
      <w:r w:rsidR="00A42BE2">
        <w:rPr>
          <w:sz w:val="22"/>
          <w:szCs w:val="22"/>
          <w:lang w:val="en-GB"/>
        </w:rPr>
        <w:t>,</w:t>
      </w:r>
      <w:r w:rsidR="00A42BE2" w:rsidRPr="00A42BE2">
        <w:rPr>
          <w:sz w:val="22"/>
          <w:szCs w:val="22"/>
          <w:lang w:val="en-GB"/>
        </w:rPr>
        <w:t xml:space="preserve"> Beirut</w:t>
      </w:r>
      <w:r w:rsidR="00A42BE2">
        <w:rPr>
          <w:sz w:val="22"/>
          <w:szCs w:val="22"/>
          <w:lang w:val="en-GB"/>
        </w:rPr>
        <w:t>,</w:t>
      </w:r>
      <w:r w:rsidR="00A42BE2" w:rsidRPr="00A42BE2">
        <w:rPr>
          <w:sz w:val="22"/>
          <w:szCs w:val="22"/>
          <w:lang w:val="en-GB"/>
        </w:rPr>
        <w:t xml:space="preserve"> Lebanon)</w:t>
      </w:r>
      <w:r w:rsidR="00A42BE2">
        <w:rPr>
          <w:sz w:val="22"/>
          <w:szCs w:val="22"/>
          <w:lang w:val="en-GB"/>
        </w:rPr>
        <w:t>;</w:t>
      </w:r>
      <w:r w:rsidR="00A42BE2" w:rsidRPr="00A42BE2">
        <w:rPr>
          <w:sz w:val="22"/>
          <w:szCs w:val="22"/>
          <w:lang w:val="en-GB"/>
        </w:rPr>
        <w:t xml:space="preserve"> </w:t>
      </w:r>
      <w:r w:rsidR="00A42BE2" w:rsidRPr="00A42BE2">
        <w:rPr>
          <w:color w:val="000000"/>
          <w:sz w:val="22"/>
          <w:szCs w:val="22"/>
          <w:lang w:val="en-GB"/>
        </w:rPr>
        <w:t>Céline Bonnefond (CREG</w:t>
      </w:r>
      <w:r w:rsidR="00A42BE2">
        <w:rPr>
          <w:color w:val="000000"/>
          <w:sz w:val="22"/>
          <w:szCs w:val="22"/>
          <w:lang w:val="en-GB"/>
        </w:rPr>
        <w:t>,</w:t>
      </w:r>
      <w:r w:rsidR="00A42BE2" w:rsidRPr="00A42BE2">
        <w:rPr>
          <w:color w:val="000000"/>
          <w:sz w:val="22"/>
          <w:szCs w:val="22"/>
          <w:lang w:val="en-GB"/>
        </w:rPr>
        <w:t xml:space="preserve"> Grenoble)</w:t>
      </w:r>
      <w:r w:rsidR="00A42BE2">
        <w:rPr>
          <w:color w:val="000000"/>
          <w:sz w:val="22"/>
          <w:szCs w:val="22"/>
          <w:lang w:val="en-GB"/>
        </w:rPr>
        <w:t>;</w:t>
      </w:r>
      <w:r w:rsidR="00A42BE2" w:rsidRPr="00A42BE2">
        <w:rPr>
          <w:color w:val="000000"/>
          <w:sz w:val="22"/>
          <w:szCs w:val="22"/>
          <w:lang w:val="en-GB"/>
        </w:rPr>
        <w:t xml:space="preserve"> </w:t>
      </w:r>
      <w:proofErr w:type="spellStart"/>
      <w:r w:rsidR="00A42BE2" w:rsidRPr="00A42BE2">
        <w:rPr>
          <w:sz w:val="22"/>
          <w:szCs w:val="22"/>
          <w:lang w:val="en-GB"/>
        </w:rPr>
        <w:t>Chaib</w:t>
      </w:r>
      <w:proofErr w:type="spellEnd"/>
      <w:r w:rsidR="00A42BE2" w:rsidRPr="00A42BE2">
        <w:rPr>
          <w:sz w:val="22"/>
          <w:szCs w:val="22"/>
          <w:lang w:val="en-GB"/>
        </w:rPr>
        <w:t xml:space="preserve"> </w:t>
      </w:r>
      <w:proofErr w:type="spellStart"/>
      <w:r w:rsidR="00A42BE2" w:rsidRPr="00A42BE2">
        <w:rPr>
          <w:sz w:val="22"/>
          <w:szCs w:val="22"/>
          <w:lang w:val="en-GB"/>
        </w:rPr>
        <w:t>Bounoua</w:t>
      </w:r>
      <w:proofErr w:type="spellEnd"/>
      <w:r w:rsidR="00A42BE2" w:rsidRPr="00A42BE2">
        <w:rPr>
          <w:sz w:val="22"/>
          <w:szCs w:val="22"/>
          <w:lang w:val="en-GB"/>
        </w:rPr>
        <w:t xml:space="preserve"> (</w:t>
      </w:r>
      <w:proofErr w:type="spellStart"/>
      <w:r w:rsidR="00A42BE2" w:rsidRPr="00A42BE2">
        <w:rPr>
          <w:sz w:val="22"/>
          <w:szCs w:val="22"/>
          <w:lang w:val="en-GB"/>
        </w:rPr>
        <w:t>Tlemcen</w:t>
      </w:r>
      <w:proofErr w:type="spellEnd"/>
      <w:r w:rsidR="00A42BE2" w:rsidRPr="00A42BE2">
        <w:rPr>
          <w:sz w:val="22"/>
          <w:szCs w:val="22"/>
          <w:lang w:val="en-GB"/>
        </w:rPr>
        <w:t xml:space="preserve"> University</w:t>
      </w:r>
      <w:r w:rsidR="00A42BE2">
        <w:rPr>
          <w:sz w:val="22"/>
          <w:szCs w:val="22"/>
          <w:lang w:val="en-GB"/>
        </w:rPr>
        <w:t xml:space="preserve">, </w:t>
      </w:r>
      <w:r w:rsidR="00A42BE2" w:rsidRPr="00A42BE2">
        <w:rPr>
          <w:sz w:val="22"/>
          <w:szCs w:val="22"/>
          <w:lang w:val="en-GB"/>
        </w:rPr>
        <w:t>Algeria)</w:t>
      </w:r>
      <w:r w:rsidR="00A42BE2">
        <w:rPr>
          <w:sz w:val="22"/>
          <w:szCs w:val="22"/>
          <w:lang w:val="en-GB"/>
        </w:rPr>
        <w:t>;</w:t>
      </w:r>
      <w:r w:rsidR="00A42BE2" w:rsidRPr="00A42BE2">
        <w:rPr>
          <w:sz w:val="22"/>
          <w:szCs w:val="22"/>
          <w:lang w:val="en-GB"/>
        </w:rPr>
        <w:t xml:space="preserve"> </w:t>
      </w:r>
      <w:r w:rsidR="00A42BE2" w:rsidRPr="00A42BE2">
        <w:rPr>
          <w:color w:val="111111"/>
          <w:sz w:val="22"/>
          <w:szCs w:val="22"/>
          <w:lang w:val="en-GB"/>
        </w:rPr>
        <w:t xml:space="preserve">Diego </w:t>
      </w:r>
      <w:proofErr w:type="spellStart"/>
      <w:r w:rsidR="00A42BE2" w:rsidRPr="00A42BE2">
        <w:rPr>
          <w:color w:val="111111"/>
          <w:sz w:val="22"/>
          <w:szCs w:val="22"/>
          <w:lang w:val="en-GB"/>
        </w:rPr>
        <w:t>Coletto</w:t>
      </w:r>
      <w:proofErr w:type="spellEnd"/>
      <w:r w:rsidR="00A42BE2" w:rsidRPr="00A42BE2">
        <w:rPr>
          <w:color w:val="111111"/>
          <w:sz w:val="22"/>
          <w:szCs w:val="22"/>
          <w:lang w:val="en-GB"/>
        </w:rPr>
        <w:t xml:space="preserve"> (</w:t>
      </w:r>
      <w:proofErr w:type="spellStart"/>
      <w:r w:rsidR="00A42BE2" w:rsidRPr="00A42BE2">
        <w:rPr>
          <w:color w:val="111111"/>
          <w:sz w:val="22"/>
          <w:szCs w:val="22"/>
          <w:lang w:val="en-GB"/>
        </w:rPr>
        <w:t>Università</w:t>
      </w:r>
      <w:proofErr w:type="spellEnd"/>
      <w:r w:rsidR="00A42BE2" w:rsidRPr="00A42BE2">
        <w:rPr>
          <w:color w:val="111111"/>
          <w:sz w:val="22"/>
          <w:szCs w:val="22"/>
          <w:lang w:val="en-GB"/>
        </w:rPr>
        <w:t xml:space="preserve"> </w:t>
      </w:r>
      <w:proofErr w:type="spellStart"/>
      <w:r w:rsidR="00A42BE2" w:rsidRPr="00A42BE2">
        <w:rPr>
          <w:color w:val="111111"/>
          <w:sz w:val="22"/>
          <w:szCs w:val="22"/>
          <w:lang w:val="en-GB"/>
        </w:rPr>
        <w:t>degli</w:t>
      </w:r>
      <w:proofErr w:type="spellEnd"/>
      <w:r w:rsidR="00A42BE2" w:rsidRPr="00A42BE2">
        <w:rPr>
          <w:color w:val="111111"/>
          <w:sz w:val="22"/>
          <w:szCs w:val="22"/>
          <w:lang w:val="en-GB"/>
        </w:rPr>
        <w:t xml:space="preserve"> </w:t>
      </w:r>
      <w:proofErr w:type="spellStart"/>
      <w:r w:rsidR="00A42BE2" w:rsidRPr="00A42BE2">
        <w:rPr>
          <w:color w:val="111111"/>
          <w:sz w:val="22"/>
          <w:szCs w:val="22"/>
          <w:lang w:val="en-GB"/>
        </w:rPr>
        <w:t>Studi</w:t>
      </w:r>
      <w:proofErr w:type="spellEnd"/>
      <w:r w:rsidR="00A42BE2" w:rsidRPr="00A42BE2">
        <w:rPr>
          <w:color w:val="111111"/>
          <w:sz w:val="22"/>
          <w:szCs w:val="22"/>
          <w:lang w:val="en-GB"/>
        </w:rPr>
        <w:t xml:space="preserve"> di Milano-Bicocca</w:t>
      </w:r>
      <w:r w:rsidR="00A42BE2">
        <w:rPr>
          <w:color w:val="111111"/>
          <w:sz w:val="22"/>
          <w:szCs w:val="22"/>
          <w:lang w:val="en-GB"/>
        </w:rPr>
        <w:t>,</w:t>
      </w:r>
      <w:r w:rsidR="00A42BE2" w:rsidRPr="00A42BE2">
        <w:rPr>
          <w:color w:val="111111"/>
          <w:sz w:val="22"/>
          <w:szCs w:val="22"/>
          <w:lang w:val="en-GB"/>
        </w:rPr>
        <w:t xml:space="preserve"> Italy)</w:t>
      </w:r>
      <w:r w:rsidR="00A42BE2">
        <w:rPr>
          <w:color w:val="111111"/>
          <w:sz w:val="22"/>
          <w:szCs w:val="22"/>
          <w:lang w:val="en-GB"/>
        </w:rPr>
        <w:t>;</w:t>
      </w:r>
      <w:r w:rsidR="00A42BE2" w:rsidRPr="00A42BE2">
        <w:rPr>
          <w:color w:val="111111"/>
          <w:sz w:val="22"/>
          <w:szCs w:val="22"/>
          <w:lang w:val="en-GB"/>
        </w:rPr>
        <w:t xml:space="preserve"> </w:t>
      </w:r>
      <w:r w:rsidR="00A42BE2" w:rsidRPr="00A42BE2">
        <w:rPr>
          <w:color w:val="000000"/>
          <w:sz w:val="22"/>
          <w:szCs w:val="22"/>
          <w:lang w:val="en-GB"/>
        </w:rPr>
        <w:t xml:space="preserve">Alia </w:t>
      </w:r>
      <w:proofErr w:type="spellStart"/>
      <w:r w:rsidR="00A42BE2" w:rsidRPr="00A42BE2">
        <w:rPr>
          <w:color w:val="000000"/>
          <w:sz w:val="22"/>
          <w:szCs w:val="22"/>
          <w:lang w:val="en-GB"/>
        </w:rPr>
        <w:t>Fakhry</w:t>
      </w:r>
      <w:proofErr w:type="spellEnd"/>
      <w:r w:rsidR="00A42BE2" w:rsidRPr="00A42BE2">
        <w:rPr>
          <w:color w:val="000000"/>
          <w:sz w:val="22"/>
          <w:szCs w:val="22"/>
          <w:lang w:val="en-GB"/>
        </w:rPr>
        <w:t xml:space="preserve"> (</w:t>
      </w:r>
      <w:r w:rsidR="00A42BE2" w:rsidRPr="00A42BE2">
        <w:rPr>
          <w:sz w:val="22"/>
          <w:szCs w:val="22"/>
          <w:lang w:val="en-GB"/>
        </w:rPr>
        <w:t>German Council on Foreign Relation</w:t>
      </w:r>
      <w:r w:rsidR="00A42BE2">
        <w:rPr>
          <w:sz w:val="22"/>
          <w:szCs w:val="22"/>
          <w:lang w:val="en-GB"/>
        </w:rPr>
        <w:t>,</w:t>
      </w:r>
      <w:r w:rsidR="00A42BE2" w:rsidRPr="00A42BE2">
        <w:rPr>
          <w:sz w:val="22"/>
          <w:szCs w:val="22"/>
          <w:lang w:val="en-GB"/>
        </w:rPr>
        <w:t xml:space="preserve"> Berlin)</w:t>
      </w:r>
      <w:r w:rsidR="00A42BE2">
        <w:rPr>
          <w:sz w:val="22"/>
          <w:szCs w:val="22"/>
          <w:lang w:val="en-GB"/>
        </w:rPr>
        <w:t>;</w:t>
      </w:r>
      <w:r w:rsidR="00A42BE2" w:rsidRPr="00A42BE2">
        <w:rPr>
          <w:sz w:val="22"/>
          <w:szCs w:val="22"/>
          <w:lang w:val="en-GB"/>
        </w:rPr>
        <w:t xml:space="preserve"> Jérôme </w:t>
      </w:r>
      <w:proofErr w:type="spellStart"/>
      <w:r w:rsidR="00A42BE2" w:rsidRPr="00A42BE2">
        <w:rPr>
          <w:sz w:val="22"/>
          <w:szCs w:val="22"/>
          <w:lang w:val="en-GB"/>
        </w:rPr>
        <w:t>Maucourant</w:t>
      </w:r>
      <w:proofErr w:type="spellEnd"/>
      <w:r w:rsidR="00A42BE2" w:rsidRPr="00A42BE2">
        <w:rPr>
          <w:sz w:val="22"/>
          <w:szCs w:val="22"/>
          <w:lang w:val="en-GB"/>
        </w:rPr>
        <w:t xml:space="preserve"> (</w:t>
      </w:r>
      <w:r w:rsidR="00A42BE2" w:rsidRPr="00A42BE2">
        <w:rPr>
          <w:bCs/>
          <w:sz w:val="22"/>
          <w:szCs w:val="22"/>
          <w:lang w:val="en-GB"/>
        </w:rPr>
        <w:t>Triangle CNRS</w:t>
      </w:r>
      <w:r w:rsidR="00A42BE2">
        <w:rPr>
          <w:bCs/>
          <w:sz w:val="22"/>
          <w:szCs w:val="22"/>
          <w:lang w:val="en-GB"/>
        </w:rPr>
        <w:t>,</w:t>
      </w:r>
      <w:r w:rsidR="00A42BE2" w:rsidRPr="00A42BE2">
        <w:rPr>
          <w:bCs/>
          <w:sz w:val="22"/>
          <w:szCs w:val="22"/>
          <w:lang w:val="en-GB"/>
        </w:rPr>
        <w:t xml:space="preserve"> Lyon)</w:t>
      </w:r>
      <w:r w:rsidR="00A42BE2">
        <w:rPr>
          <w:bCs/>
          <w:sz w:val="22"/>
          <w:szCs w:val="22"/>
          <w:lang w:val="en-GB"/>
        </w:rPr>
        <w:t>;</w:t>
      </w:r>
      <w:r w:rsidR="00A42BE2" w:rsidRPr="00A42BE2">
        <w:rPr>
          <w:bCs/>
          <w:sz w:val="22"/>
          <w:szCs w:val="22"/>
          <w:lang w:val="en-GB"/>
        </w:rPr>
        <w:t xml:space="preserve"> </w:t>
      </w:r>
      <w:r w:rsidR="00A42BE2" w:rsidRPr="00A42BE2">
        <w:rPr>
          <w:sz w:val="22"/>
          <w:szCs w:val="22"/>
          <w:lang w:val="en-GB"/>
        </w:rPr>
        <w:t>Laurence O. Michalak (Berkeley</w:t>
      </w:r>
      <w:r w:rsidR="00A42BE2">
        <w:rPr>
          <w:sz w:val="22"/>
          <w:szCs w:val="22"/>
          <w:lang w:val="en-GB"/>
        </w:rPr>
        <w:t>,</w:t>
      </w:r>
      <w:r w:rsidR="00A42BE2" w:rsidRPr="00A42BE2">
        <w:rPr>
          <w:sz w:val="22"/>
          <w:szCs w:val="22"/>
          <w:lang w:val="en-GB"/>
        </w:rPr>
        <w:t xml:space="preserve"> USA)</w:t>
      </w:r>
      <w:r w:rsidR="00A42BE2">
        <w:rPr>
          <w:sz w:val="22"/>
          <w:szCs w:val="22"/>
          <w:lang w:val="en-GB"/>
        </w:rPr>
        <w:t>;</w:t>
      </w:r>
      <w:r w:rsidR="00A42BE2" w:rsidRPr="00A42BE2">
        <w:rPr>
          <w:sz w:val="22"/>
          <w:szCs w:val="22"/>
          <w:lang w:val="en-GB"/>
        </w:rPr>
        <w:t xml:space="preserve"> </w:t>
      </w:r>
      <w:proofErr w:type="spellStart"/>
      <w:r w:rsidR="00A42BE2" w:rsidRPr="00A42BE2">
        <w:rPr>
          <w:sz w:val="22"/>
          <w:szCs w:val="22"/>
          <w:lang w:val="en-GB"/>
        </w:rPr>
        <w:t>Saib</w:t>
      </w:r>
      <w:proofErr w:type="spellEnd"/>
      <w:r w:rsidR="00A42BE2" w:rsidRPr="00A42BE2">
        <w:rPr>
          <w:sz w:val="22"/>
          <w:szCs w:val="22"/>
          <w:lang w:val="en-GB"/>
        </w:rPr>
        <w:t xml:space="preserve"> Musette (CREAD</w:t>
      </w:r>
      <w:r w:rsidR="00A42BE2">
        <w:rPr>
          <w:sz w:val="22"/>
          <w:szCs w:val="22"/>
          <w:lang w:val="en-GB"/>
        </w:rPr>
        <w:t>,</w:t>
      </w:r>
      <w:r w:rsidR="00A42BE2" w:rsidRPr="00A42BE2">
        <w:rPr>
          <w:sz w:val="22"/>
          <w:szCs w:val="22"/>
          <w:lang w:val="en-GB"/>
        </w:rPr>
        <w:t xml:space="preserve"> Alger)</w:t>
      </w:r>
      <w:r w:rsidR="00A42BE2">
        <w:rPr>
          <w:sz w:val="22"/>
          <w:szCs w:val="22"/>
          <w:lang w:val="en-GB"/>
        </w:rPr>
        <w:t>;</w:t>
      </w:r>
      <w:r w:rsidR="00A42BE2" w:rsidRPr="00A42BE2">
        <w:rPr>
          <w:sz w:val="22"/>
          <w:szCs w:val="22"/>
          <w:lang w:val="en-GB"/>
        </w:rPr>
        <w:t xml:space="preserve"> </w:t>
      </w:r>
      <w:proofErr w:type="spellStart"/>
      <w:r w:rsidR="00A42BE2" w:rsidRPr="00A42BE2">
        <w:rPr>
          <w:sz w:val="22"/>
          <w:szCs w:val="22"/>
          <w:lang w:val="en-GB"/>
        </w:rPr>
        <w:t>Aysit</w:t>
      </w:r>
      <w:proofErr w:type="spellEnd"/>
      <w:r w:rsidR="00A42BE2" w:rsidRPr="00A42BE2">
        <w:rPr>
          <w:sz w:val="22"/>
          <w:szCs w:val="22"/>
          <w:lang w:val="en-GB"/>
        </w:rPr>
        <w:t xml:space="preserve"> </w:t>
      </w:r>
      <w:proofErr w:type="spellStart"/>
      <w:r w:rsidR="00A42BE2" w:rsidRPr="00A42BE2">
        <w:rPr>
          <w:sz w:val="22"/>
          <w:szCs w:val="22"/>
          <w:lang w:val="en-GB"/>
        </w:rPr>
        <w:t>Tansel</w:t>
      </w:r>
      <w:proofErr w:type="spellEnd"/>
      <w:r w:rsidR="00A42BE2" w:rsidRPr="00A42BE2">
        <w:rPr>
          <w:sz w:val="22"/>
          <w:szCs w:val="22"/>
          <w:lang w:val="en-GB"/>
        </w:rPr>
        <w:t xml:space="preserve"> (MTU, Ankara, Turkey).</w:t>
      </w:r>
    </w:p>
    <w:p w:rsidR="00C5733A" w:rsidRDefault="00C5733A" w:rsidP="00C5733A">
      <w:pPr>
        <w:spacing w:after="120"/>
        <w:jc w:val="both"/>
        <w:rPr>
          <w:sz w:val="22"/>
          <w:szCs w:val="22"/>
          <w:lang w:val="en-GB"/>
        </w:rPr>
      </w:pPr>
      <w:r w:rsidRPr="006826E8">
        <w:rPr>
          <w:sz w:val="22"/>
          <w:szCs w:val="22"/>
          <w:lang w:val="en-GB"/>
        </w:rPr>
        <w:t>The workshop is supported by the Universit</w:t>
      </w:r>
      <w:r>
        <w:rPr>
          <w:sz w:val="22"/>
          <w:szCs w:val="22"/>
          <w:lang w:val="en-GB"/>
        </w:rPr>
        <w:t>y</w:t>
      </w:r>
      <w:r w:rsidRPr="006826E8">
        <w:rPr>
          <w:sz w:val="22"/>
          <w:szCs w:val="22"/>
          <w:lang w:val="en-GB"/>
        </w:rPr>
        <w:t xml:space="preserve"> Grenoble-Alpes, </w:t>
      </w:r>
      <w:r w:rsidR="004C2E75">
        <w:rPr>
          <w:sz w:val="22"/>
          <w:szCs w:val="22"/>
          <w:lang w:val="en-GB"/>
        </w:rPr>
        <w:t xml:space="preserve">the IUT of Valence, </w:t>
      </w:r>
      <w:r w:rsidR="004D78E8">
        <w:rPr>
          <w:sz w:val="22"/>
          <w:szCs w:val="22"/>
          <w:lang w:val="en-GB"/>
        </w:rPr>
        <w:t xml:space="preserve">the </w:t>
      </w:r>
      <w:r w:rsidR="004D78E8" w:rsidRPr="006826E8">
        <w:rPr>
          <w:i/>
          <w:sz w:val="22"/>
          <w:szCs w:val="22"/>
          <w:lang w:val="en-GB"/>
        </w:rPr>
        <w:t>CREG</w:t>
      </w:r>
      <w:r w:rsidR="004D78E8" w:rsidRPr="006826E8">
        <w:rPr>
          <w:sz w:val="22"/>
          <w:szCs w:val="22"/>
          <w:lang w:val="en-GB"/>
        </w:rPr>
        <w:t xml:space="preserve"> research laboratory</w:t>
      </w:r>
      <w:r w:rsidR="004D78E8">
        <w:rPr>
          <w:sz w:val="22"/>
          <w:szCs w:val="22"/>
          <w:lang w:val="en-GB"/>
        </w:rPr>
        <w:t xml:space="preserve">, </w:t>
      </w:r>
      <w:r w:rsidR="004133AE">
        <w:rPr>
          <w:sz w:val="22"/>
          <w:szCs w:val="22"/>
          <w:lang w:val="en-GB"/>
        </w:rPr>
        <w:t xml:space="preserve">the </w:t>
      </w:r>
      <w:r w:rsidR="004133AE" w:rsidRPr="004133AE">
        <w:rPr>
          <w:i/>
          <w:color w:val="000000"/>
          <w:sz w:val="22"/>
          <w:szCs w:val="22"/>
          <w:lang w:val="en-GB"/>
        </w:rPr>
        <w:t>Euro-Medite</w:t>
      </w:r>
      <w:r w:rsidR="004D07D1">
        <w:rPr>
          <w:i/>
          <w:color w:val="000000"/>
          <w:sz w:val="22"/>
          <w:szCs w:val="22"/>
          <w:lang w:val="en-GB"/>
        </w:rPr>
        <w:t>r</w:t>
      </w:r>
      <w:r w:rsidR="004133AE" w:rsidRPr="004133AE">
        <w:rPr>
          <w:i/>
          <w:color w:val="000000"/>
          <w:sz w:val="22"/>
          <w:szCs w:val="22"/>
          <w:lang w:val="en-GB"/>
        </w:rPr>
        <w:t>ran</w:t>
      </w:r>
      <w:bookmarkStart w:id="4" w:name="_GoBack"/>
      <w:bookmarkEnd w:id="4"/>
      <w:r w:rsidR="004133AE" w:rsidRPr="004133AE">
        <w:rPr>
          <w:i/>
          <w:color w:val="000000"/>
          <w:sz w:val="22"/>
          <w:szCs w:val="22"/>
          <w:lang w:val="en-GB"/>
        </w:rPr>
        <w:t>ean Economists Association,</w:t>
      </w:r>
      <w:r w:rsidR="004133AE">
        <w:rPr>
          <w:i/>
          <w:color w:val="000000"/>
          <w:sz w:val="22"/>
          <w:szCs w:val="22"/>
          <w:lang w:val="en-GB"/>
        </w:rPr>
        <w:t xml:space="preserve"> </w:t>
      </w:r>
      <w:r w:rsidRPr="006826E8">
        <w:rPr>
          <w:sz w:val="22"/>
          <w:szCs w:val="22"/>
          <w:lang w:val="en-GB"/>
        </w:rPr>
        <w:t xml:space="preserve">the </w:t>
      </w:r>
      <w:r w:rsidRPr="006826E8">
        <w:rPr>
          <w:i/>
          <w:sz w:val="22"/>
          <w:szCs w:val="22"/>
          <w:lang w:val="en-GB"/>
        </w:rPr>
        <w:t>Maghreb-</w:t>
      </w:r>
      <w:proofErr w:type="spellStart"/>
      <w:r w:rsidRPr="006826E8">
        <w:rPr>
          <w:i/>
          <w:sz w:val="22"/>
          <w:szCs w:val="22"/>
          <w:lang w:val="en-GB"/>
        </w:rPr>
        <w:t>Machrek</w:t>
      </w:r>
      <w:proofErr w:type="spellEnd"/>
      <w:r w:rsidRPr="006826E8">
        <w:rPr>
          <w:sz w:val="22"/>
          <w:szCs w:val="22"/>
          <w:lang w:val="en-GB"/>
        </w:rPr>
        <w:t xml:space="preserve"> and </w:t>
      </w:r>
      <w:r w:rsidRPr="006826E8">
        <w:rPr>
          <w:i/>
          <w:sz w:val="22"/>
          <w:szCs w:val="22"/>
          <w:lang w:val="en-GB"/>
        </w:rPr>
        <w:t>Maghreb-</w:t>
      </w:r>
      <w:proofErr w:type="spellStart"/>
      <w:r w:rsidRPr="006826E8">
        <w:rPr>
          <w:i/>
          <w:sz w:val="22"/>
          <w:szCs w:val="22"/>
          <w:lang w:val="en-GB"/>
        </w:rPr>
        <w:t>Mashrek</w:t>
      </w:r>
      <w:proofErr w:type="spellEnd"/>
      <w:r w:rsidRPr="006826E8">
        <w:rPr>
          <w:i/>
          <w:sz w:val="22"/>
          <w:szCs w:val="22"/>
          <w:lang w:val="en-GB"/>
        </w:rPr>
        <w:t xml:space="preserve"> International</w:t>
      </w:r>
      <w:r w:rsidRPr="006826E8">
        <w:rPr>
          <w:sz w:val="22"/>
          <w:szCs w:val="22"/>
          <w:lang w:val="en-GB"/>
        </w:rPr>
        <w:t xml:space="preserve"> journals</w:t>
      </w:r>
      <w:r>
        <w:rPr>
          <w:sz w:val="22"/>
          <w:szCs w:val="22"/>
          <w:lang w:val="en-GB"/>
        </w:rPr>
        <w:t>,</w:t>
      </w:r>
      <w:r w:rsidRPr="00C5733A">
        <w:rPr>
          <w:sz w:val="22"/>
          <w:szCs w:val="22"/>
          <w:lang w:val="en-GB"/>
        </w:rPr>
        <w:t xml:space="preserve"> </w:t>
      </w:r>
      <w:r w:rsidRPr="006826E8">
        <w:rPr>
          <w:sz w:val="22"/>
          <w:szCs w:val="22"/>
          <w:lang w:val="en-GB"/>
        </w:rPr>
        <w:t>as well as</w:t>
      </w:r>
      <w:r>
        <w:rPr>
          <w:sz w:val="22"/>
          <w:szCs w:val="22"/>
          <w:lang w:val="en-GB"/>
        </w:rPr>
        <w:t xml:space="preserve"> by</w:t>
      </w:r>
      <w:r w:rsidR="004D78E8">
        <w:rPr>
          <w:sz w:val="22"/>
          <w:szCs w:val="22"/>
          <w:lang w:val="en-GB"/>
        </w:rPr>
        <w:t xml:space="preserve"> the</w:t>
      </w:r>
      <w:r w:rsidRPr="00C5733A">
        <w:rPr>
          <w:i/>
          <w:sz w:val="22"/>
          <w:szCs w:val="22"/>
          <w:lang w:val="en-GB"/>
        </w:rPr>
        <w:t xml:space="preserve"> </w:t>
      </w:r>
      <w:r w:rsidRPr="006826E8">
        <w:rPr>
          <w:i/>
          <w:sz w:val="22"/>
          <w:szCs w:val="22"/>
          <w:lang w:val="en-GB"/>
        </w:rPr>
        <w:t>Association Tiers-Monde</w:t>
      </w:r>
      <w:r>
        <w:rPr>
          <w:i/>
          <w:sz w:val="22"/>
          <w:szCs w:val="22"/>
          <w:lang w:val="en-GB"/>
        </w:rPr>
        <w:t xml:space="preserve"> </w:t>
      </w:r>
      <w:r w:rsidRPr="006826E8">
        <w:rPr>
          <w:sz w:val="22"/>
          <w:szCs w:val="22"/>
          <w:lang w:val="en-GB"/>
        </w:rPr>
        <w:t>(Third World Association)</w:t>
      </w:r>
      <w:r>
        <w:rPr>
          <w:sz w:val="22"/>
          <w:szCs w:val="22"/>
          <w:lang w:val="en-GB"/>
        </w:rPr>
        <w:t>.</w:t>
      </w:r>
    </w:p>
    <w:p w:rsidR="004915C1" w:rsidRPr="00BF060C" w:rsidRDefault="004915C1" w:rsidP="004915C1">
      <w:pPr>
        <w:spacing w:after="120"/>
        <w:jc w:val="both"/>
        <w:rPr>
          <w:color w:val="000000"/>
          <w:sz w:val="22"/>
          <w:szCs w:val="22"/>
          <w:lang w:val="en-GB"/>
        </w:rPr>
      </w:pPr>
    </w:p>
    <w:p w:rsidR="004915C1" w:rsidRDefault="004915C1" w:rsidP="004915C1">
      <w:pPr>
        <w:pBdr>
          <w:top w:val="single" w:sz="4" w:space="1" w:color="auto"/>
          <w:left w:val="single" w:sz="4" w:space="4" w:color="auto"/>
          <w:bottom w:val="single" w:sz="4" w:space="1" w:color="auto"/>
          <w:right w:val="single" w:sz="4" w:space="4" w:color="auto"/>
        </w:pBdr>
      </w:pPr>
      <w:bookmarkStart w:id="5" w:name="_Hlk125989983"/>
      <w:r>
        <w:rPr>
          <w:noProof/>
          <w:lang w:val="en-GB" w:eastAsia="en-GB"/>
        </w:rPr>
        <w:drawing>
          <wp:inline distT="0" distB="0" distL="0" distR="0" wp14:anchorId="603380AA" wp14:editId="32DBE954">
            <wp:extent cx="776283" cy="475958"/>
            <wp:effectExtent l="0" t="0" r="5080" b="635"/>
            <wp:docPr id="5" name="Image 5" descr="Fichier:Logo Université Grenoble Alpes 2020.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Université Grenoble Alpes 2020.svg — Wikip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4142" cy="493039"/>
                    </a:xfrm>
                    <a:prstGeom prst="rect">
                      <a:avLst/>
                    </a:prstGeom>
                    <a:noFill/>
                    <a:ln>
                      <a:noFill/>
                    </a:ln>
                  </pic:spPr>
                </pic:pic>
              </a:graphicData>
            </a:graphic>
          </wp:inline>
        </w:drawing>
      </w:r>
      <w:r>
        <w:tab/>
      </w:r>
      <w:r>
        <w:tab/>
      </w:r>
      <w:r w:rsidRPr="00507BF7">
        <w:rPr>
          <w:noProof/>
          <w:lang w:val="en-GB" w:eastAsia="en-GB"/>
        </w:rPr>
        <w:drawing>
          <wp:inline distT="0" distB="0" distL="0" distR="0" wp14:anchorId="399300C0" wp14:editId="5790994B">
            <wp:extent cx="1373505" cy="35242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8173" b="36649"/>
                    <a:stretch/>
                  </pic:blipFill>
                  <pic:spPr bwMode="auto">
                    <a:xfrm>
                      <a:off x="0" y="0"/>
                      <a:ext cx="1442129" cy="370033"/>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val="en-GB" w:eastAsia="en-GB"/>
        </w:rPr>
        <w:drawing>
          <wp:inline distT="0" distB="0" distL="0" distR="0" wp14:anchorId="6155C064" wp14:editId="31C2969E">
            <wp:extent cx="723900" cy="532299"/>
            <wp:effectExtent l="0" t="0" r="0" b="1270"/>
            <wp:docPr id="3" name="Image 3" descr="Logo IUT Va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IUT Val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3015" cy="568414"/>
                    </a:xfrm>
                    <a:prstGeom prst="rect">
                      <a:avLst/>
                    </a:prstGeom>
                    <a:noFill/>
                    <a:ln>
                      <a:noFill/>
                    </a:ln>
                  </pic:spPr>
                </pic:pic>
              </a:graphicData>
            </a:graphic>
          </wp:inline>
        </w:drawing>
      </w:r>
      <w:r>
        <w:t xml:space="preserve">    </w:t>
      </w:r>
      <w:r>
        <w:rPr>
          <w:noProof/>
          <w:lang w:val="en-GB" w:eastAsia="en-GB"/>
        </w:rPr>
        <w:drawing>
          <wp:inline distT="0" distB="0" distL="0" distR="0" wp14:anchorId="11190085" wp14:editId="0735AEFC">
            <wp:extent cx="1238250" cy="563619"/>
            <wp:effectExtent l="0" t="0" r="0" b="8255"/>
            <wp:docPr id="4" name="Image 4" descr="https://creg.univ-grenoble-alpes.fr/sites/creg/files/Mediatheque/creg_logo_carrou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reg.univ-grenoble-alpes.fr/sites/creg/files/Mediatheque/creg_logo_carrouse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1214" cy="615037"/>
                    </a:xfrm>
                    <a:prstGeom prst="rect">
                      <a:avLst/>
                    </a:prstGeom>
                    <a:noFill/>
                    <a:ln>
                      <a:noFill/>
                    </a:ln>
                  </pic:spPr>
                </pic:pic>
              </a:graphicData>
            </a:graphic>
          </wp:inline>
        </w:drawing>
      </w:r>
    </w:p>
    <w:p w:rsidR="004915C1" w:rsidRDefault="004915C1" w:rsidP="004915C1">
      <w:pPr>
        <w:pBdr>
          <w:top w:val="single" w:sz="4" w:space="1" w:color="auto"/>
          <w:left w:val="single" w:sz="4" w:space="4" w:color="auto"/>
          <w:bottom w:val="single" w:sz="4" w:space="1" w:color="auto"/>
          <w:right w:val="single" w:sz="4" w:space="4" w:color="auto"/>
        </w:pBdr>
      </w:pPr>
    </w:p>
    <w:bookmarkEnd w:id="5"/>
    <w:p w:rsidR="004915C1" w:rsidRDefault="004133AE" w:rsidP="004133AE">
      <w:pPr>
        <w:pBdr>
          <w:top w:val="single" w:sz="4" w:space="1" w:color="auto"/>
          <w:left w:val="single" w:sz="4" w:space="4" w:color="auto"/>
          <w:bottom w:val="single" w:sz="4" w:space="1" w:color="auto"/>
          <w:right w:val="single" w:sz="4" w:space="4" w:color="auto"/>
        </w:pBdr>
      </w:pPr>
      <w:r>
        <w:rPr>
          <w:noProof/>
          <w:lang w:val="en-GB" w:eastAsia="en-GB"/>
        </w:rPr>
        <w:drawing>
          <wp:inline distT="0" distB="0" distL="0" distR="0" wp14:anchorId="4EC66E15" wp14:editId="2D79F399">
            <wp:extent cx="581025" cy="505460"/>
            <wp:effectExtent l="0" t="0" r="9525" b="8890"/>
            <wp:docPr id="2" name="Image 2" descr="e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5845" cy="535751"/>
                    </a:xfrm>
                    <a:prstGeom prst="rect">
                      <a:avLst/>
                    </a:prstGeom>
                    <a:noFill/>
                    <a:ln>
                      <a:noFill/>
                    </a:ln>
                  </pic:spPr>
                </pic:pic>
              </a:graphicData>
            </a:graphic>
          </wp:inline>
        </w:drawing>
      </w:r>
      <w:r>
        <w:t xml:space="preserve">    </w:t>
      </w:r>
      <w:r w:rsidR="004915C1" w:rsidRPr="004A3448">
        <w:rPr>
          <w:noProof/>
          <w:lang w:val="en-GB" w:eastAsia="en-GB"/>
        </w:rPr>
        <w:drawing>
          <wp:inline distT="0" distB="0" distL="0" distR="0" wp14:anchorId="3186A3A8" wp14:editId="15414105">
            <wp:extent cx="994143" cy="504190"/>
            <wp:effectExtent l="0" t="0" r="0" b="0"/>
            <wp:docPr id="8" name="Image 8" descr="C:\Users\Philippe\AppData\Local\Microsoft\Windows\INetCache\Content.Outlook\U28PTPX1\logo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pe\AppData\Local\Microsoft\Windows\INetCache\Content.Outlook\U28PTPX1\logo MM.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908" cy="517257"/>
                    </a:xfrm>
                    <a:prstGeom prst="rect">
                      <a:avLst/>
                    </a:prstGeom>
                    <a:noFill/>
                    <a:ln>
                      <a:noFill/>
                    </a:ln>
                  </pic:spPr>
                </pic:pic>
              </a:graphicData>
            </a:graphic>
          </wp:inline>
        </w:drawing>
      </w:r>
      <w:r>
        <w:t xml:space="preserve">   </w:t>
      </w:r>
      <w:r w:rsidR="00BF060C">
        <w:rPr>
          <w:noProof/>
          <w:lang w:val="en-GB" w:eastAsia="en-GB"/>
        </w:rPr>
        <w:drawing>
          <wp:inline distT="0" distB="0" distL="0" distR="0" wp14:anchorId="75FCC9F0" wp14:editId="7DDBEC34">
            <wp:extent cx="1070610" cy="504765"/>
            <wp:effectExtent l="0" t="0" r="0" b="0"/>
            <wp:docPr id="1" name="Image 1" descr="Maghreb-Machrek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hreb-Machrek Internatio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1483" cy="528750"/>
                    </a:xfrm>
                    <a:prstGeom prst="rect">
                      <a:avLst/>
                    </a:prstGeom>
                    <a:noFill/>
                    <a:ln>
                      <a:noFill/>
                    </a:ln>
                  </pic:spPr>
                </pic:pic>
              </a:graphicData>
            </a:graphic>
          </wp:inline>
        </w:drawing>
      </w:r>
      <w:r>
        <w:t xml:space="preserve">     </w:t>
      </w:r>
      <w:r w:rsidR="004915C1" w:rsidRPr="00BE047E">
        <w:rPr>
          <w:rFonts w:ascii="Berlin Sans FB" w:hAnsi="Berlin Sans FB"/>
          <w:i/>
          <w:noProof/>
          <w:lang w:val="en-GB" w:eastAsia="en-GB"/>
        </w:rPr>
        <w:drawing>
          <wp:inline distT="0" distB="0" distL="0" distR="0" wp14:anchorId="361BD179" wp14:editId="643FE041">
            <wp:extent cx="1964383" cy="50419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92461" cy="511397"/>
                    </a:xfrm>
                    <a:prstGeom prst="rect">
                      <a:avLst/>
                    </a:prstGeom>
                  </pic:spPr>
                </pic:pic>
              </a:graphicData>
            </a:graphic>
          </wp:inline>
        </w:drawing>
      </w:r>
    </w:p>
    <w:p w:rsidR="004915C1" w:rsidRDefault="004915C1" w:rsidP="004915C1"/>
    <w:sectPr w:rsidR="004915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E72" w:rsidRDefault="00022E72" w:rsidP="006826E8">
      <w:r>
        <w:separator/>
      </w:r>
    </w:p>
  </w:endnote>
  <w:endnote w:type="continuationSeparator" w:id="0">
    <w:p w:rsidR="00022E72" w:rsidRDefault="00022E72" w:rsidP="0068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E72" w:rsidRDefault="00022E72" w:rsidP="006826E8">
      <w:r>
        <w:separator/>
      </w:r>
    </w:p>
  </w:footnote>
  <w:footnote w:type="continuationSeparator" w:id="0">
    <w:p w:rsidR="00022E72" w:rsidRDefault="00022E72" w:rsidP="006826E8">
      <w:r>
        <w:continuationSeparator/>
      </w:r>
    </w:p>
  </w:footnote>
  <w:footnote w:id="1">
    <w:p w:rsidR="006826E8" w:rsidRPr="006826E8" w:rsidRDefault="006826E8" w:rsidP="006826E8">
      <w:pPr>
        <w:pBdr>
          <w:top w:val="single" w:sz="4" w:space="1" w:color="auto"/>
          <w:left w:val="single" w:sz="4" w:space="4" w:color="auto"/>
          <w:bottom w:val="single" w:sz="4" w:space="1" w:color="auto"/>
          <w:right w:val="single" w:sz="4" w:space="4" w:color="auto"/>
        </w:pBdr>
        <w:shd w:val="clear" w:color="auto" w:fill="FFFFFF"/>
        <w:jc w:val="both"/>
        <w:rPr>
          <w:sz w:val="20"/>
          <w:szCs w:val="20"/>
          <w:lang w:val="en-GB"/>
        </w:rPr>
      </w:pPr>
      <w:r>
        <w:rPr>
          <w:rStyle w:val="Appelnotedebasdep"/>
        </w:rPr>
        <w:footnoteRef/>
      </w:r>
      <w:r w:rsidRPr="006826E8">
        <w:rPr>
          <w:lang w:val="en-GB"/>
        </w:rPr>
        <w:t xml:space="preserve"> </w:t>
      </w:r>
      <w:r w:rsidRPr="006826E8">
        <w:rPr>
          <w:sz w:val="20"/>
          <w:szCs w:val="20"/>
          <w:lang w:val="en-GB"/>
        </w:rPr>
        <w:t xml:space="preserve">Founded in 1960, </w:t>
      </w:r>
      <w:r w:rsidRPr="006826E8">
        <w:rPr>
          <w:i/>
          <w:iCs/>
          <w:sz w:val="20"/>
          <w:szCs w:val="20"/>
          <w:lang w:val="en-GB"/>
        </w:rPr>
        <w:t>Maghreb-</w:t>
      </w:r>
      <w:proofErr w:type="spellStart"/>
      <w:r w:rsidRPr="006826E8">
        <w:rPr>
          <w:i/>
          <w:iCs/>
          <w:sz w:val="20"/>
          <w:szCs w:val="20"/>
          <w:lang w:val="en-GB"/>
        </w:rPr>
        <w:t>Mashrek</w:t>
      </w:r>
      <w:proofErr w:type="spellEnd"/>
      <w:r w:rsidRPr="006826E8">
        <w:rPr>
          <w:sz w:val="20"/>
          <w:szCs w:val="20"/>
          <w:lang w:val="en-GB"/>
        </w:rPr>
        <w:t>, is a leading international social science journal devoted to the contemporary issues of the Middle-East and North Africa region. It brings together articles from experts providing an in-depth analysis on the following topics: political systems, economic issues, social mobilisations, transnational dynamics, and international relations. The journal supports a multidisciplinary perspective based on political science, history, geography, sociology and economics.</w:t>
      </w:r>
    </w:p>
    <w:p w:rsidR="006826E8" w:rsidRPr="006826E8" w:rsidRDefault="006826E8" w:rsidP="006826E8">
      <w:pPr>
        <w:pBdr>
          <w:top w:val="single" w:sz="4" w:space="1" w:color="auto"/>
          <w:left w:val="single" w:sz="4" w:space="4" w:color="auto"/>
          <w:bottom w:val="single" w:sz="4" w:space="1" w:color="auto"/>
          <w:right w:val="single" w:sz="4" w:space="4" w:color="auto"/>
        </w:pBdr>
        <w:shd w:val="clear" w:color="auto" w:fill="FFFFFF"/>
        <w:jc w:val="both"/>
        <w:rPr>
          <w:lang w:val="en-GB"/>
        </w:rPr>
      </w:pPr>
      <w:r w:rsidRPr="006826E8">
        <w:rPr>
          <w:rStyle w:val="auteur"/>
          <w:rFonts w:eastAsiaTheme="majorEastAsia"/>
          <w:bCs/>
          <w:sz w:val="20"/>
          <w:szCs w:val="20"/>
          <w:lang w:val="en-GB"/>
        </w:rPr>
        <w:t xml:space="preserve">The English edition </w:t>
      </w:r>
      <w:r w:rsidRPr="006826E8">
        <w:rPr>
          <w:rStyle w:val="auteur"/>
          <w:rFonts w:eastAsiaTheme="majorEastAsia"/>
          <w:bCs/>
          <w:i/>
          <w:sz w:val="20"/>
          <w:szCs w:val="20"/>
          <w:lang w:val="en-GB"/>
        </w:rPr>
        <w:t>Maghreb-</w:t>
      </w:r>
      <w:proofErr w:type="spellStart"/>
      <w:r w:rsidRPr="006826E8">
        <w:rPr>
          <w:rStyle w:val="auteur"/>
          <w:rFonts w:eastAsiaTheme="majorEastAsia"/>
          <w:bCs/>
          <w:i/>
          <w:sz w:val="20"/>
          <w:szCs w:val="20"/>
          <w:lang w:val="en-GB"/>
        </w:rPr>
        <w:t>Mashrek</w:t>
      </w:r>
      <w:proofErr w:type="spellEnd"/>
      <w:r w:rsidRPr="006826E8">
        <w:rPr>
          <w:rStyle w:val="auteur"/>
          <w:rFonts w:eastAsiaTheme="majorEastAsia"/>
          <w:bCs/>
          <w:i/>
          <w:sz w:val="20"/>
          <w:szCs w:val="20"/>
          <w:lang w:val="en-GB"/>
        </w:rPr>
        <w:t xml:space="preserve"> International</w:t>
      </w:r>
      <w:r w:rsidRPr="006826E8">
        <w:rPr>
          <w:rStyle w:val="auteur"/>
          <w:rFonts w:eastAsiaTheme="majorEastAsia"/>
          <w:bCs/>
          <w:sz w:val="20"/>
          <w:szCs w:val="20"/>
          <w:lang w:val="en-GB"/>
        </w:rPr>
        <w:t xml:space="preserve"> is published in 2023</w:t>
      </w:r>
      <w:r>
        <w:rPr>
          <w:rStyle w:val="auteur"/>
          <w:rFonts w:eastAsiaTheme="majorEastAsia"/>
          <w:bCs/>
          <w:sz w:val="20"/>
          <w:szCs w:val="20"/>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6E1"/>
    <w:rsid w:val="00017354"/>
    <w:rsid w:val="00022E72"/>
    <w:rsid w:val="00062334"/>
    <w:rsid w:val="000864C3"/>
    <w:rsid w:val="00140FC3"/>
    <w:rsid w:val="001F4C99"/>
    <w:rsid w:val="002A7319"/>
    <w:rsid w:val="002D2803"/>
    <w:rsid w:val="0037455A"/>
    <w:rsid w:val="004133AE"/>
    <w:rsid w:val="004915C1"/>
    <w:rsid w:val="004C2E75"/>
    <w:rsid w:val="004D07D1"/>
    <w:rsid w:val="004D78E8"/>
    <w:rsid w:val="004E1C91"/>
    <w:rsid w:val="00506BC3"/>
    <w:rsid w:val="005D496A"/>
    <w:rsid w:val="006302A0"/>
    <w:rsid w:val="00632CFE"/>
    <w:rsid w:val="006826E8"/>
    <w:rsid w:val="00824C76"/>
    <w:rsid w:val="00833AA3"/>
    <w:rsid w:val="008F262E"/>
    <w:rsid w:val="00987389"/>
    <w:rsid w:val="0099195B"/>
    <w:rsid w:val="009B75FA"/>
    <w:rsid w:val="00A07199"/>
    <w:rsid w:val="00A26BB7"/>
    <w:rsid w:val="00A27FCC"/>
    <w:rsid w:val="00A42BE2"/>
    <w:rsid w:val="00A44C7E"/>
    <w:rsid w:val="00A4513B"/>
    <w:rsid w:val="00AA5F67"/>
    <w:rsid w:val="00B337F1"/>
    <w:rsid w:val="00B33F52"/>
    <w:rsid w:val="00B4068A"/>
    <w:rsid w:val="00B46EDE"/>
    <w:rsid w:val="00B86554"/>
    <w:rsid w:val="00B93AA4"/>
    <w:rsid w:val="00BF060C"/>
    <w:rsid w:val="00C34E1C"/>
    <w:rsid w:val="00C5733A"/>
    <w:rsid w:val="00CF0968"/>
    <w:rsid w:val="00CF1A32"/>
    <w:rsid w:val="00D140D9"/>
    <w:rsid w:val="00DB4C51"/>
    <w:rsid w:val="00DC41C4"/>
    <w:rsid w:val="00E016E1"/>
    <w:rsid w:val="00E255B0"/>
    <w:rsid w:val="00E92FC0"/>
    <w:rsid w:val="00ED3B6A"/>
    <w:rsid w:val="00F150B6"/>
    <w:rsid w:val="00FA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7875"/>
  <w15:chartTrackingRefBased/>
  <w15:docId w15:val="{53E86961-7CF5-4319-A5E6-B9B7501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6E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revue">
    <w:name w:val="in-revue"/>
    <w:basedOn w:val="Policepardfaut"/>
    <w:rsid w:val="00E016E1"/>
  </w:style>
  <w:style w:type="character" w:styleId="Accentuation">
    <w:name w:val="Emphasis"/>
    <w:basedOn w:val="Policepardfaut"/>
    <w:uiPriority w:val="20"/>
    <w:qFormat/>
    <w:rsid w:val="00E016E1"/>
    <w:rPr>
      <w:i/>
      <w:iCs/>
    </w:rPr>
  </w:style>
  <w:style w:type="character" w:styleId="Lienhypertexte">
    <w:name w:val="Hyperlink"/>
    <w:basedOn w:val="Policepardfaut"/>
    <w:uiPriority w:val="99"/>
    <w:unhideWhenUsed/>
    <w:rsid w:val="00E016E1"/>
    <w:rPr>
      <w:color w:val="0000FF"/>
      <w:u w:val="single"/>
    </w:rPr>
  </w:style>
  <w:style w:type="paragraph" w:styleId="NormalWeb">
    <w:name w:val="Normal (Web)"/>
    <w:basedOn w:val="Normal"/>
    <w:uiPriority w:val="99"/>
    <w:unhideWhenUsed/>
    <w:rsid w:val="00E016E1"/>
    <w:pPr>
      <w:spacing w:before="100" w:beforeAutospacing="1" w:after="100" w:afterAutospacing="1"/>
    </w:pPr>
  </w:style>
  <w:style w:type="character" w:styleId="lev">
    <w:name w:val="Strong"/>
    <w:basedOn w:val="Policepardfaut"/>
    <w:uiPriority w:val="22"/>
    <w:qFormat/>
    <w:rsid w:val="00E016E1"/>
    <w:rPr>
      <w:b/>
      <w:bCs/>
    </w:rPr>
  </w:style>
  <w:style w:type="character" w:customStyle="1" w:styleId="auteur">
    <w:name w:val="auteur"/>
    <w:basedOn w:val="Policepardfaut"/>
    <w:rsid w:val="00E016E1"/>
  </w:style>
  <w:style w:type="paragraph" w:styleId="Notedebasdepage">
    <w:name w:val="footnote text"/>
    <w:basedOn w:val="Normal"/>
    <w:link w:val="NotedebasdepageCar"/>
    <w:uiPriority w:val="99"/>
    <w:semiHidden/>
    <w:unhideWhenUsed/>
    <w:rsid w:val="006826E8"/>
    <w:rPr>
      <w:sz w:val="20"/>
      <w:szCs w:val="20"/>
    </w:rPr>
  </w:style>
  <w:style w:type="character" w:customStyle="1" w:styleId="NotedebasdepageCar">
    <w:name w:val="Note de bas de page Car"/>
    <w:basedOn w:val="Policepardfaut"/>
    <w:link w:val="Notedebasdepage"/>
    <w:uiPriority w:val="99"/>
    <w:semiHidden/>
    <w:rsid w:val="006826E8"/>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682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worldbank.org/team/elena-ianchovichina" TargetMode="External"/><Relationship Id="rId13" Type="http://schemas.openxmlformats.org/officeDocument/2006/relationships/hyperlink" Target="https://www.google.com/search?rlz=1C1CHBF_frFR932FR932&amp;sxsrf=ALiCzsbwUHea4dU-vQhMTXhg2ijI2B7Jcw:1661356383586&amp;tbm=bks&amp;q=inauthor:%22Simon+Szreter%22&amp;sa=X&amp;ved=2ahUKEwi_3tro6t_5AhWiz4UKHa1CDAoQ9Ah6BAgTEAg"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blogs.worldbank.org/team/hai-anh-h-dang" TargetMode="External"/><Relationship Id="rId12" Type="http://schemas.openxmlformats.org/officeDocument/2006/relationships/hyperlink" Target="http://www.pewresearch.org"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eg.univ-grenoble-alpes.fr/actualites/worshop-middle-classes-mena"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ewresearch.org/global/2015/07/08/a-global-middle-class-is-more-promise-than-reality/" TargetMode="External"/><Relationship Id="rId24" Type="http://schemas.openxmlformats.org/officeDocument/2006/relationships/image" Target="media/image8.tiff"/><Relationship Id="rId5" Type="http://schemas.openxmlformats.org/officeDocument/2006/relationships/footnotes" Target="footnotes.xml"/><Relationship Id="rId15" Type="http://schemas.openxmlformats.org/officeDocument/2006/relationships/hyperlink" Target="mailto:adair@u-pec.fr" TargetMode="External"/><Relationship Id="rId23" Type="http://schemas.openxmlformats.org/officeDocument/2006/relationships/image" Target="media/image7.jpeg"/><Relationship Id="rId10" Type="http://schemas.openxmlformats.org/officeDocument/2006/relationships/hyperlink" Target="https://oxford.universitypressscholarship.com/view/10.1093/oso/9780192896858.001.0001/oso-9780192896858"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twitter.com/intent/tweet?text=In+Egypt+and+Yemen%2C+the+size+of+the+middle+class+declined+substantially&amp;url=https://blogs.worldbank.org/arabvoices/middle-class-dynamics-and-arab-spring/?cid=SHR_BlogSiteTweetable_EN_EXT&amp;via=WorldBankMENA" TargetMode="External"/><Relationship Id="rId14" Type="http://schemas.openxmlformats.org/officeDocument/2006/relationships/hyperlink" Target="https://books.google.fr/url?client=ca-print-cambridge&amp;format=googleprint&amp;num=0&amp;id=RgHk87N9zAsC&amp;q=http://www.cambridge.org/9780521528689&amp;usg=AOvVaw1kVMZFtMGGKaNbribn8yOi&amp;source=gbs_buy_r" TargetMode="External"/><Relationship Id="rId22"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F7A0-D491-4BF7-B083-41D1A14D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2716</Words>
  <Characters>14938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Celine Bonnefond</cp:lastModifiedBy>
  <cp:revision>4</cp:revision>
  <dcterms:created xsi:type="dcterms:W3CDTF">2023-02-02T13:57:00Z</dcterms:created>
  <dcterms:modified xsi:type="dcterms:W3CDTF">2023-02-02T15:31:00Z</dcterms:modified>
</cp:coreProperties>
</file>