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7F1" w:rsidRPr="00367B3C" w:rsidRDefault="005457F1" w:rsidP="005457F1">
      <w:pPr>
        <w:spacing w:before="120"/>
        <w:jc w:val="both"/>
        <w:rPr>
          <w:bCs/>
          <w:sz w:val="22"/>
          <w:szCs w:val="22"/>
        </w:rPr>
      </w:pPr>
      <w:r w:rsidRPr="00367B3C">
        <w:rPr>
          <w:bCs/>
          <w:sz w:val="22"/>
          <w:szCs w:val="22"/>
        </w:rPr>
        <w:t xml:space="preserve">Appel A Contributions pour un prochain numéro de la revue </w:t>
      </w:r>
      <w:r w:rsidRPr="00367B3C">
        <w:rPr>
          <w:bCs/>
          <w:i/>
          <w:sz w:val="22"/>
          <w:szCs w:val="22"/>
        </w:rPr>
        <w:t>Maghreb-Machrek</w:t>
      </w:r>
      <w:r w:rsidRPr="00367B3C">
        <w:rPr>
          <w:rStyle w:val="Appelnotedebasdep"/>
          <w:bCs/>
          <w:i/>
          <w:sz w:val="22"/>
          <w:szCs w:val="22"/>
        </w:rPr>
        <w:footnoteReference w:id="1"/>
      </w:r>
      <w:r w:rsidRPr="00367B3C">
        <w:rPr>
          <w:bCs/>
          <w:sz w:val="22"/>
          <w:szCs w:val="22"/>
        </w:rPr>
        <w:t xml:space="preserve"> consacré au thème : « Cadres et entrepreneurs dans les économies à revenu intermédiaire : la place et la dynamique de la classe moyenne dans la région MENA ». A paraître en juin-septembre 2023.</w:t>
      </w:r>
    </w:p>
    <w:p w:rsidR="005457F1" w:rsidRPr="00367B3C" w:rsidRDefault="005457F1" w:rsidP="005457F1">
      <w:pPr>
        <w:spacing w:before="120" w:after="120"/>
        <w:jc w:val="both"/>
        <w:rPr>
          <w:b/>
          <w:bCs/>
          <w:sz w:val="22"/>
          <w:szCs w:val="22"/>
        </w:rPr>
      </w:pPr>
      <w:r w:rsidRPr="00367B3C">
        <w:rPr>
          <w:b/>
          <w:bCs/>
          <w:sz w:val="22"/>
          <w:szCs w:val="22"/>
        </w:rPr>
        <w:t>Diversité et caractères communs de la région MENA</w:t>
      </w:r>
    </w:p>
    <w:p w:rsidR="005457F1" w:rsidRPr="00367B3C" w:rsidRDefault="005457F1" w:rsidP="005457F1">
      <w:pPr>
        <w:spacing w:after="120"/>
        <w:jc w:val="both"/>
        <w:rPr>
          <w:sz w:val="22"/>
          <w:szCs w:val="22"/>
        </w:rPr>
      </w:pPr>
      <w:r w:rsidRPr="00367B3C">
        <w:rPr>
          <w:bCs/>
          <w:sz w:val="22"/>
          <w:szCs w:val="22"/>
        </w:rPr>
        <w:t>La région Moyen-Orient et Afrique du Nord (MENA) comprend dix principaux pays appartenant à l’aire géographique du Machrek (</w:t>
      </w:r>
      <w:hyperlink r:id="rId6" w:history="1">
        <w:r w:rsidRPr="00367B3C">
          <w:rPr>
            <w:rStyle w:val="Lienhypertexte"/>
            <w:color w:val="auto"/>
            <w:sz w:val="22"/>
            <w:szCs w:val="22"/>
            <w:u w:val="none"/>
          </w:rPr>
          <w:t>Égypte</w:t>
        </w:r>
      </w:hyperlink>
      <w:r w:rsidRPr="00367B3C">
        <w:rPr>
          <w:sz w:val="22"/>
          <w:szCs w:val="22"/>
        </w:rPr>
        <w:t xml:space="preserve">, </w:t>
      </w:r>
      <w:hyperlink r:id="rId7" w:history="1">
        <w:r w:rsidRPr="00367B3C">
          <w:rPr>
            <w:rStyle w:val="Lienhypertexte"/>
            <w:color w:val="auto"/>
            <w:sz w:val="22"/>
            <w:szCs w:val="22"/>
            <w:u w:val="none"/>
          </w:rPr>
          <w:t>Irak</w:t>
        </w:r>
      </w:hyperlink>
      <w:r w:rsidRPr="00367B3C">
        <w:rPr>
          <w:sz w:val="22"/>
          <w:szCs w:val="22"/>
        </w:rPr>
        <w:t xml:space="preserve">, </w:t>
      </w:r>
      <w:hyperlink r:id="rId8" w:history="1">
        <w:r w:rsidRPr="00367B3C">
          <w:rPr>
            <w:rStyle w:val="Lienhypertexte"/>
            <w:color w:val="auto"/>
            <w:sz w:val="22"/>
            <w:szCs w:val="22"/>
            <w:u w:val="none"/>
          </w:rPr>
          <w:t>Jordanie</w:t>
        </w:r>
      </w:hyperlink>
      <w:r w:rsidRPr="00367B3C">
        <w:rPr>
          <w:sz w:val="22"/>
          <w:szCs w:val="22"/>
        </w:rPr>
        <w:t xml:space="preserve">, </w:t>
      </w:r>
      <w:hyperlink r:id="rId9" w:history="1">
        <w:r w:rsidRPr="00367B3C">
          <w:rPr>
            <w:rStyle w:val="Lienhypertexte"/>
            <w:color w:val="auto"/>
            <w:sz w:val="22"/>
            <w:szCs w:val="22"/>
            <w:u w:val="none"/>
          </w:rPr>
          <w:t>Liban</w:t>
        </w:r>
      </w:hyperlink>
      <w:r w:rsidRPr="00367B3C">
        <w:rPr>
          <w:sz w:val="22"/>
          <w:szCs w:val="22"/>
        </w:rPr>
        <w:t xml:space="preserve">, </w:t>
      </w:r>
      <w:hyperlink r:id="rId10" w:history="1">
        <w:r w:rsidRPr="00367B3C">
          <w:rPr>
            <w:rStyle w:val="Lienhypertexte"/>
            <w:color w:val="auto"/>
            <w:sz w:val="22"/>
            <w:szCs w:val="22"/>
            <w:u w:val="none"/>
          </w:rPr>
          <w:t>Palestine</w:t>
        </w:r>
      </w:hyperlink>
      <w:r w:rsidRPr="00367B3C">
        <w:rPr>
          <w:sz w:val="22"/>
          <w:szCs w:val="22"/>
        </w:rPr>
        <w:t xml:space="preserve"> et </w:t>
      </w:r>
      <w:hyperlink r:id="rId11" w:history="1">
        <w:r w:rsidRPr="00367B3C">
          <w:rPr>
            <w:rStyle w:val="Lienhypertexte"/>
            <w:color w:val="auto"/>
            <w:sz w:val="22"/>
            <w:szCs w:val="22"/>
            <w:u w:val="none"/>
          </w:rPr>
          <w:t>Syrie</w:t>
        </w:r>
      </w:hyperlink>
      <w:r w:rsidRPr="00367B3C">
        <w:rPr>
          <w:sz w:val="22"/>
          <w:szCs w:val="22"/>
        </w:rPr>
        <w:t xml:space="preserve">) et du </w:t>
      </w:r>
      <w:r w:rsidRPr="00367B3C">
        <w:rPr>
          <w:bCs/>
          <w:sz w:val="22"/>
          <w:szCs w:val="22"/>
        </w:rPr>
        <w:t>Maghreb (</w:t>
      </w:r>
      <w:r w:rsidRPr="00367B3C">
        <w:rPr>
          <w:color w:val="323232"/>
          <w:sz w:val="22"/>
          <w:szCs w:val="22"/>
        </w:rPr>
        <w:t>Algérie</w:t>
      </w:r>
      <w:r w:rsidRPr="00367B3C">
        <w:rPr>
          <w:sz w:val="22"/>
          <w:szCs w:val="22"/>
        </w:rPr>
        <w:t xml:space="preserve">, </w:t>
      </w:r>
      <w:r w:rsidRPr="00367B3C">
        <w:rPr>
          <w:color w:val="323232"/>
          <w:sz w:val="22"/>
          <w:szCs w:val="22"/>
        </w:rPr>
        <w:t xml:space="preserve">Maroc, Tunisie et Lybie). Parmi ces pays, quelques-uns sont des économies émergentes, tandis que d’autres (Lybie, Syrie, Irak) sont à la traine, en raison de la guerre. Certaines économies sont des pays exportateurs de pétrole (Algérie, Libye et Irak), ce qui leur confère ainsi un revenu leur permettant de financer l’essor et la prospérité de leur classe moyenne. Par-delà leur diversité, tous ces pays partagent une série de caractéristiques qui restreignent le développement de la classe moyenne. Le chômage des jeunes et l’informalité de l’emploi sont des caractéristiques omniprésentes des marchés du travail de la région MENA. En outre, un taux de participation féminine très faible et une faible mobilité professionnelle du segment informel au segment formel du marché du travail entravent le processus de renforcement de la classe moyenne. La création d’emplois dans la région a été biaisée en faveur de l’industrie manufacturière et du BTP qui occupent une part importante de main-d’œuvre informelle, tandis que les services reposant sur la main-d’œuvre formelle qualifiée ont stagné. Le secteur public a également réduit le recrutement depuis une décennie dans le cadre des réformes macroéconomiques affectant notamment le secteur public </w:t>
      </w:r>
      <w:r w:rsidRPr="00367B3C">
        <w:rPr>
          <w:sz w:val="22"/>
          <w:szCs w:val="22"/>
        </w:rPr>
        <w:t xml:space="preserve">(Adair &amp; </w:t>
      </w:r>
      <w:proofErr w:type="spellStart"/>
      <w:r w:rsidRPr="00367B3C">
        <w:rPr>
          <w:sz w:val="22"/>
          <w:szCs w:val="22"/>
        </w:rPr>
        <w:t>Hlasny</w:t>
      </w:r>
      <w:proofErr w:type="spellEnd"/>
      <w:r w:rsidRPr="00367B3C">
        <w:rPr>
          <w:sz w:val="22"/>
          <w:szCs w:val="22"/>
        </w:rPr>
        <w:t>, 2022).</w:t>
      </w:r>
    </w:p>
    <w:p w:rsidR="005457F1" w:rsidRPr="00367B3C" w:rsidRDefault="005457F1" w:rsidP="005457F1">
      <w:pPr>
        <w:spacing w:after="120"/>
        <w:jc w:val="both"/>
        <w:rPr>
          <w:sz w:val="22"/>
          <w:szCs w:val="22"/>
        </w:rPr>
      </w:pPr>
      <w:r w:rsidRPr="00367B3C">
        <w:rPr>
          <w:sz w:val="22"/>
          <w:szCs w:val="22"/>
        </w:rPr>
        <w:t>Dans les économies contemporaines, la classe moyenne stimule la demande de biens et de services privés (</w:t>
      </w:r>
      <w:proofErr w:type="spellStart"/>
      <w:r w:rsidRPr="00367B3C">
        <w:rPr>
          <w:sz w:val="22"/>
          <w:szCs w:val="22"/>
        </w:rPr>
        <w:t>Banerjee</w:t>
      </w:r>
      <w:proofErr w:type="spellEnd"/>
      <w:r w:rsidRPr="00367B3C">
        <w:rPr>
          <w:sz w:val="22"/>
          <w:szCs w:val="22"/>
        </w:rPr>
        <w:t xml:space="preserve"> et Duflo, 2008), mais également de services publics, telles que l’éducation, la santé et les infrastructures (</w:t>
      </w:r>
      <w:proofErr w:type="spellStart"/>
      <w:r w:rsidRPr="00367B3C">
        <w:rPr>
          <w:sz w:val="22"/>
          <w:szCs w:val="22"/>
        </w:rPr>
        <w:t>Easterly</w:t>
      </w:r>
      <w:proofErr w:type="spellEnd"/>
      <w:r w:rsidRPr="00367B3C">
        <w:rPr>
          <w:sz w:val="22"/>
          <w:szCs w:val="22"/>
        </w:rPr>
        <w:t>, 2001). Les investissements publics et privés dans ces secteurs favorisent la croissance durable et inclusive de l’économie. Ainsi, analyser l’état et la dynamique de la classe moyenne en région MENA est un enjeu majeur.</w:t>
      </w:r>
    </w:p>
    <w:p w:rsidR="005457F1" w:rsidRPr="00367B3C" w:rsidRDefault="005457F1" w:rsidP="005457F1">
      <w:pPr>
        <w:shd w:val="clear" w:color="auto" w:fill="FFFFFF"/>
        <w:jc w:val="both"/>
        <w:rPr>
          <w:rStyle w:val="auteur"/>
          <w:bCs/>
          <w:sz w:val="22"/>
          <w:szCs w:val="22"/>
        </w:rPr>
      </w:pPr>
      <w:r w:rsidRPr="00367B3C">
        <w:rPr>
          <w:rStyle w:val="auteur"/>
          <w:bCs/>
          <w:sz w:val="22"/>
          <w:szCs w:val="22"/>
        </w:rPr>
        <w:t>Il convient d’observer l’hétérogénéité des catégories. La catégorie des cadres recouvre des cadres moyens et des cadres dirigeants (supérieurs). La catégorie d’entrepreneurs comprend des artisans sans employé, des petits patrons de micro entreprises et des PDG de moyennes et grandes entreprises employant de 50 à 250 salariés et au-delà.</w:t>
      </w:r>
    </w:p>
    <w:p w:rsidR="005457F1" w:rsidRPr="00367B3C" w:rsidRDefault="005457F1" w:rsidP="005457F1">
      <w:pPr>
        <w:spacing w:before="120" w:after="120"/>
        <w:jc w:val="both"/>
        <w:rPr>
          <w:rStyle w:val="lev"/>
          <w:color w:val="0A0A0A"/>
          <w:sz w:val="22"/>
          <w:szCs w:val="22"/>
          <w:shd w:val="clear" w:color="auto" w:fill="FEFEFE"/>
        </w:rPr>
      </w:pPr>
      <w:r w:rsidRPr="00367B3C">
        <w:rPr>
          <w:rStyle w:val="lev"/>
          <w:color w:val="0A0A0A"/>
          <w:sz w:val="22"/>
          <w:szCs w:val="22"/>
          <w:shd w:val="clear" w:color="auto" w:fill="FEFEFE"/>
        </w:rPr>
        <w:t>Stratification sociale et classe moyenne</w:t>
      </w:r>
    </w:p>
    <w:p w:rsidR="005457F1" w:rsidRPr="00367B3C" w:rsidRDefault="005457F1" w:rsidP="005457F1">
      <w:pPr>
        <w:jc w:val="both"/>
        <w:rPr>
          <w:rStyle w:val="lev"/>
          <w:b w:val="0"/>
          <w:color w:val="0A0A0A"/>
          <w:sz w:val="22"/>
          <w:szCs w:val="22"/>
          <w:shd w:val="clear" w:color="auto" w:fill="FEFEFE"/>
        </w:rPr>
      </w:pPr>
      <w:r w:rsidRPr="00367B3C">
        <w:rPr>
          <w:rStyle w:val="lev"/>
          <w:b w:val="0"/>
          <w:color w:val="0A0A0A"/>
          <w:sz w:val="22"/>
          <w:szCs w:val="22"/>
          <w:shd w:val="clear" w:color="auto" w:fill="FEFEFE"/>
        </w:rPr>
        <w:t>La stratification sociale recouvre diverses représentations.</w:t>
      </w:r>
    </w:p>
    <w:p w:rsidR="005457F1" w:rsidRPr="00367B3C" w:rsidRDefault="005457F1" w:rsidP="005457F1">
      <w:pPr>
        <w:shd w:val="clear" w:color="auto" w:fill="FEFEFE"/>
        <w:jc w:val="both"/>
        <w:rPr>
          <w:color w:val="0A0A0A"/>
          <w:sz w:val="22"/>
          <w:szCs w:val="22"/>
        </w:rPr>
      </w:pPr>
      <w:r w:rsidRPr="00367B3C">
        <w:rPr>
          <w:rStyle w:val="lev"/>
          <w:b w:val="0"/>
          <w:color w:val="0A0A0A"/>
          <w:sz w:val="22"/>
          <w:szCs w:val="22"/>
          <w:shd w:val="clear" w:color="auto" w:fill="FEFEFE"/>
        </w:rPr>
        <w:t>Une première approche de la classe moyenne se fonde sur les revenus. La pyramide représente une élite très réduite, des populations pauvres très larges, et une classe moyenne centrale qui</w:t>
      </w:r>
      <w:r w:rsidRPr="00367B3C">
        <w:rPr>
          <w:rStyle w:val="lev"/>
          <w:color w:val="0A0A0A"/>
          <w:sz w:val="22"/>
          <w:szCs w:val="22"/>
          <w:shd w:val="clear" w:color="auto" w:fill="FEFEFE"/>
        </w:rPr>
        <w:t xml:space="preserve"> </w:t>
      </w:r>
      <w:r w:rsidRPr="00367B3C">
        <w:rPr>
          <w:color w:val="0A0A0A"/>
          <w:sz w:val="22"/>
          <w:szCs w:val="22"/>
          <w:shd w:val="clear" w:color="auto" w:fill="FEFEFE"/>
        </w:rPr>
        <w:t xml:space="preserve">n’est pas majoritaire. C’est typiquement le cas des pays émergents, avec des classes moyennes naissantes. </w:t>
      </w:r>
      <w:r w:rsidRPr="00367B3C">
        <w:rPr>
          <w:bCs/>
          <w:color w:val="0A0A0A"/>
          <w:sz w:val="22"/>
          <w:szCs w:val="22"/>
        </w:rPr>
        <w:t>L’image de la montgolfière dessine une classe moyenne centrale et ascendante, avec une classe aisée peu importante et des catégories pauvres</w:t>
      </w:r>
      <w:r w:rsidRPr="00367B3C">
        <w:rPr>
          <w:b/>
          <w:bCs/>
          <w:color w:val="0A0A0A"/>
          <w:sz w:val="22"/>
          <w:szCs w:val="22"/>
        </w:rPr>
        <w:t xml:space="preserve"> </w:t>
      </w:r>
      <w:r w:rsidRPr="00367B3C">
        <w:rPr>
          <w:bCs/>
          <w:color w:val="0A0A0A"/>
          <w:sz w:val="22"/>
          <w:szCs w:val="22"/>
        </w:rPr>
        <w:t>réduites.</w:t>
      </w:r>
      <w:r w:rsidRPr="00367B3C">
        <w:rPr>
          <w:color w:val="0A0A0A"/>
          <w:sz w:val="22"/>
          <w:szCs w:val="22"/>
        </w:rPr>
        <w:t xml:space="preserve"> L’illustration typique est celle des sociétés occidentales, soit la plupart des pays de l’OCDE. Enfin, la métaphore du sablier exprime l’érosion des classes moyennes, conjuguée à l’enrichissement de sa classe supérieure et l’appauvrissement de sa classe inférieure (</w:t>
      </w:r>
      <w:r w:rsidRPr="00367B3C">
        <w:rPr>
          <w:rStyle w:val="auteur"/>
          <w:bCs/>
          <w:sz w:val="22"/>
          <w:szCs w:val="22"/>
        </w:rPr>
        <w:t>Damon, 2012</w:t>
      </w:r>
      <w:r w:rsidRPr="00367B3C">
        <w:rPr>
          <w:rStyle w:val="Lienhypertexte"/>
          <w:bCs/>
          <w:sz w:val="22"/>
          <w:szCs w:val="22"/>
        </w:rPr>
        <w:t xml:space="preserve">; </w:t>
      </w:r>
      <w:r w:rsidRPr="00367B3C">
        <w:rPr>
          <w:rStyle w:val="auteur"/>
          <w:bCs/>
          <w:sz w:val="22"/>
          <w:szCs w:val="22"/>
        </w:rPr>
        <w:t>2013)</w:t>
      </w:r>
      <w:r w:rsidRPr="00367B3C">
        <w:rPr>
          <w:color w:val="0A0A0A"/>
          <w:sz w:val="22"/>
          <w:szCs w:val="22"/>
        </w:rPr>
        <w:t>.</w:t>
      </w:r>
    </w:p>
    <w:p w:rsidR="005457F1" w:rsidRPr="00367B3C" w:rsidRDefault="005457F1" w:rsidP="005457F1">
      <w:pPr>
        <w:shd w:val="clear" w:color="auto" w:fill="FFFFFF"/>
        <w:spacing w:after="120"/>
        <w:jc w:val="both"/>
        <w:rPr>
          <w:rStyle w:val="lev"/>
          <w:b w:val="0"/>
          <w:sz w:val="22"/>
          <w:szCs w:val="22"/>
          <w:shd w:val="clear" w:color="auto" w:fill="FFFFFF"/>
        </w:rPr>
      </w:pPr>
      <w:r w:rsidRPr="00367B3C">
        <w:rPr>
          <w:color w:val="0F1111"/>
          <w:sz w:val="22"/>
          <w:szCs w:val="22"/>
          <w:shd w:val="clear" w:color="auto" w:fill="FFFFFF"/>
        </w:rPr>
        <w:t>Une autre approche souligne la segmentation sociale. Ainsi, selon Max Weber (1921), le spectre social recouvre quatre catégories distinctes: la classe supérieure possédante, les cols blancs sans propriété, la petite bourgeoisie et la classe ouvrière. L</w:t>
      </w:r>
      <w:r w:rsidRPr="00367B3C">
        <w:rPr>
          <w:rStyle w:val="lev"/>
          <w:b w:val="0"/>
          <w:sz w:val="22"/>
          <w:szCs w:val="22"/>
          <w:shd w:val="clear" w:color="auto" w:fill="FFFFFF"/>
        </w:rPr>
        <w:t xml:space="preserve">es trois composantes de la stratification sociale sont le pouvoir, la classe et le statut. Les personnes appartenant à la même strate jouissent du même style de vie (voire d’un </w:t>
      </w:r>
      <w:r w:rsidRPr="00367B3C">
        <w:rPr>
          <w:rStyle w:val="lev"/>
          <w:b w:val="0"/>
          <w:i/>
          <w:sz w:val="22"/>
          <w:szCs w:val="22"/>
          <w:shd w:val="clear" w:color="auto" w:fill="FFFFFF"/>
        </w:rPr>
        <w:t>habitus</w:t>
      </w:r>
      <w:r w:rsidRPr="00367B3C">
        <w:rPr>
          <w:rStyle w:val="lev"/>
          <w:b w:val="0"/>
          <w:sz w:val="22"/>
          <w:szCs w:val="22"/>
          <w:shd w:val="clear" w:color="auto" w:fill="FFFFFF"/>
        </w:rPr>
        <w:t xml:space="preserve"> de classe au sens de Bourdieu, 1972) et sont dotées des mêmes possibilités de croissance. </w:t>
      </w:r>
    </w:p>
    <w:p w:rsidR="005457F1" w:rsidRPr="00367B3C" w:rsidRDefault="005457F1" w:rsidP="005457F1">
      <w:pPr>
        <w:pStyle w:val="NormalWeb"/>
        <w:shd w:val="clear" w:color="auto" w:fill="FFFFFF"/>
        <w:spacing w:before="0" w:beforeAutospacing="0" w:after="120" w:afterAutospacing="0"/>
        <w:jc w:val="both"/>
        <w:rPr>
          <w:color w:val="202122"/>
          <w:sz w:val="22"/>
          <w:szCs w:val="22"/>
          <w:shd w:val="clear" w:color="auto" w:fill="FFFFFF"/>
        </w:rPr>
      </w:pPr>
      <w:r w:rsidRPr="00367B3C">
        <w:rPr>
          <w:rStyle w:val="lev"/>
          <w:b w:val="0"/>
          <w:sz w:val="22"/>
          <w:szCs w:val="22"/>
          <w:shd w:val="clear" w:color="auto" w:fill="FFFFFF"/>
        </w:rPr>
        <w:lastRenderedPageBreak/>
        <w:t xml:space="preserve">Le statisticien Thomas Henry Craig Stevenson identifie en 1913 les membres de la classe moyenne comme ceux qui se situent entre la classe supérieure et la classe ouvrière </w:t>
      </w:r>
      <w:r w:rsidRPr="00367B3C">
        <w:rPr>
          <w:sz w:val="22"/>
          <w:szCs w:val="22"/>
        </w:rPr>
        <w:t>(</w:t>
      </w:r>
      <w:proofErr w:type="spellStart"/>
      <w:r w:rsidR="00004818">
        <w:fldChar w:fldCharType="begin"/>
      </w:r>
      <w:r w:rsidR="00004818">
        <w:instrText xml:space="preserve"> HYPERLINK "https://www.google.com/search?rlz=1C1CHBF_frFR932FR932&amp;sxsrf=ALiCzsbwUHea4dU-vQhMTXhg2ijI2B7Jcw:1661356383586&amp;tbm=bks&amp;q=inauthor:%22Simon+Szreter%22&amp;sa=X&amp;ved=2ahUKEwi_3tro6t_5AhWiz4UKHa1CDAoQ9Ah6BAgTEAg" </w:instrText>
      </w:r>
      <w:r w:rsidR="00004818">
        <w:fldChar w:fldCharType="separate"/>
      </w:r>
      <w:r w:rsidRPr="00367B3C">
        <w:rPr>
          <w:sz w:val="22"/>
          <w:szCs w:val="22"/>
        </w:rPr>
        <w:t>Szreter</w:t>
      </w:r>
      <w:proofErr w:type="spellEnd"/>
      <w:r w:rsidR="00004818">
        <w:rPr>
          <w:sz w:val="22"/>
          <w:szCs w:val="22"/>
        </w:rPr>
        <w:fldChar w:fldCharType="end"/>
      </w:r>
      <w:r w:rsidRPr="00367B3C">
        <w:rPr>
          <w:sz w:val="22"/>
          <w:szCs w:val="22"/>
        </w:rPr>
        <w:t xml:space="preserve">, 1996, p. 74). Enfin, </w:t>
      </w:r>
      <w:r w:rsidRPr="00367B3C">
        <w:rPr>
          <w:color w:val="202122"/>
          <w:sz w:val="22"/>
          <w:szCs w:val="22"/>
          <w:shd w:val="clear" w:color="auto" w:fill="FFFFFF"/>
        </w:rPr>
        <w:t>Mills (1951) désigne la "classe moyenne" comme la combinaison de l’aristocratie ouvrière (classe ouvrière supérieure), de la classe moyenne inférieure (cadres inférieurs, propriétaires de petites entreprises et artisans qualifiés) et des cols blancs employés salariés (enseignants, travailleurs sociaux, ingénieurs, comptables, gestionnaires, infirmières et cadres de niveau intermédiaire).</w:t>
      </w:r>
    </w:p>
    <w:p w:rsidR="005457F1" w:rsidRPr="00367B3C" w:rsidRDefault="005457F1" w:rsidP="005457F1">
      <w:pPr>
        <w:spacing w:after="120"/>
        <w:jc w:val="both"/>
        <w:rPr>
          <w:b/>
          <w:color w:val="323232"/>
          <w:sz w:val="22"/>
          <w:szCs w:val="22"/>
        </w:rPr>
      </w:pPr>
      <w:r w:rsidRPr="00367B3C">
        <w:rPr>
          <w:b/>
          <w:color w:val="323232"/>
          <w:sz w:val="22"/>
          <w:szCs w:val="22"/>
        </w:rPr>
        <w:t>Définitions et mesures de la classe moyenne</w:t>
      </w:r>
    </w:p>
    <w:p w:rsidR="005457F1" w:rsidRPr="00367B3C" w:rsidRDefault="005457F1" w:rsidP="005457F1">
      <w:pPr>
        <w:spacing w:after="120"/>
        <w:jc w:val="both"/>
        <w:textAlignment w:val="baseline"/>
        <w:rPr>
          <w:color w:val="101010"/>
          <w:sz w:val="22"/>
          <w:szCs w:val="22"/>
        </w:rPr>
      </w:pPr>
      <w:r w:rsidRPr="00367B3C">
        <w:rPr>
          <w:color w:val="323232"/>
          <w:sz w:val="22"/>
          <w:szCs w:val="22"/>
        </w:rPr>
        <w:t xml:space="preserve">Il n'existe pas de définition de la classe moyenne qui fasse consensus (Clément et al., 2022). Nombre de chercheurs proposent de partir de critères de seuils portant sur le niveau de vie (de bien-être) ou les revenus. On peut aussi utiliser des référentiels relatifs à la profession occupée. Enfin, l’existence d’un sentiment d'appartenance à la classe moyenne, qui constitue également un statut social, peut être mesuré par enquêtes (WVS. </w:t>
      </w:r>
      <w:r w:rsidRPr="00367B3C">
        <w:rPr>
          <w:sz w:val="22"/>
          <w:szCs w:val="22"/>
          <w:shd w:val="clear" w:color="auto" w:fill="FFFFFF"/>
        </w:rPr>
        <w:t>2017-2022)</w:t>
      </w:r>
      <w:r w:rsidRPr="00367B3C">
        <w:rPr>
          <w:sz w:val="22"/>
          <w:szCs w:val="22"/>
        </w:rPr>
        <w:t>.</w:t>
      </w:r>
      <w:r w:rsidRPr="00367B3C">
        <w:rPr>
          <w:color w:val="101010"/>
          <w:sz w:val="22"/>
          <w:szCs w:val="22"/>
        </w:rPr>
        <w:t xml:space="preserve"> </w:t>
      </w:r>
    </w:p>
    <w:p w:rsidR="005457F1" w:rsidRPr="00367B3C" w:rsidRDefault="005457F1" w:rsidP="005457F1">
      <w:pPr>
        <w:spacing w:after="120"/>
        <w:jc w:val="both"/>
        <w:textAlignment w:val="baseline"/>
        <w:rPr>
          <w:color w:val="101010"/>
          <w:sz w:val="22"/>
          <w:szCs w:val="22"/>
        </w:rPr>
      </w:pPr>
      <w:r w:rsidRPr="00367B3C">
        <w:rPr>
          <w:color w:val="101010"/>
          <w:sz w:val="22"/>
          <w:szCs w:val="22"/>
        </w:rPr>
        <w:t xml:space="preserve">L'usage d'une définition relative peut être pertinente parce que les individus ont tendance à évaluer leur statut non pas en termes absolus, mais par rapport à ceux qui les entourent. Une mesure relative définit la classe moyenne dans les limites du revenu médian </w:t>
      </w:r>
      <w:bookmarkStart w:id="0" w:name="_Hlk125989748"/>
      <w:r w:rsidRPr="00367B3C">
        <w:rPr>
          <w:color w:val="101010"/>
          <w:sz w:val="22"/>
          <w:szCs w:val="22"/>
        </w:rPr>
        <w:t>(</w:t>
      </w:r>
      <w:proofErr w:type="spellStart"/>
      <w:r w:rsidRPr="00367B3C">
        <w:rPr>
          <w:color w:val="101010"/>
          <w:sz w:val="22"/>
          <w:szCs w:val="22"/>
        </w:rPr>
        <w:t>Birdsall</w:t>
      </w:r>
      <w:proofErr w:type="spellEnd"/>
      <w:r w:rsidRPr="00367B3C">
        <w:rPr>
          <w:color w:val="101010"/>
          <w:sz w:val="22"/>
          <w:szCs w:val="22"/>
        </w:rPr>
        <w:t xml:space="preserve"> et al., 2000).</w:t>
      </w:r>
      <w:bookmarkEnd w:id="0"/>
    </w:p>
    <w:p w:rsidR="005457F1" w:rsidRPr="00367B3C" w:rsidRDefault="005457F1" w:rsidP="005457F1">
      <w:pPr>
        <w:spacing w:after="120"/>
        <w:jc w:val="both"/>
        <w:rPr>
          <w:color w:val="323232"/>
          <w:sz w:val="22"/>
          <w:szCs w:val="22"/>
        </w:rPr>
      </w:pPr>
      <w:r w:rsidRPr="00367B3C">
        <w:rPr>
          <w:color w:val="101010"/>
          <w:sz w:val="22"/>
          <w:szCs w:val="22"/>
        </w:rPr>
        <w:t>Les sociologues considèrent souvent que la classe sociale se définit par l’éducation ou la profession. Un avantage du critère de l’éducation par rapport au revenu est que l’éducation tend à être constante tout au long de la vie. Il est plus facile de classer les titres de scolarité que de classer les professions dans tous les secteurs; la perte d’emploi fait de la profession une variable. Cependant, la valeur des titres scolaires peut s’éroder, tandis que l’analyse comparative des titres de référence peut varier au fil du temps.</w:t>
      </w:r>
      <w:r w:rsidRPr="00367B3C">
        <w:rPr>
          <w:color w:val="323232"/>
          <w:sz w:val="22"/>
          <w:szCs w:val="22"/>
        </w:rPr>
        <w:t xml:space="preserve"> </w:t>
      </w:r>
    </w:p>
    <w:p w:rsidR="005457F1" w:rsidRPr="00367B3C" w:rsidRDefault="005457F1" w:rsidP="005457F1">
      <w:pPr>
        <w:spacing w:after="120"/>
        <w:jc w:val="both"/>
        <w:rPr>
          <w:sz w:val="22"/>
          <w:szCs w:val="22"/>
        </w:rPr>
      </w:pPr>
      <w:r w:rsidRPr="00367B3C">
        <w:rPr>
          <w:sz w:val="22"/>
          <w:szCs w:val="22"/>
        </w:rPr>
        <w:t>Le secteur d’emploi, ou la profession dans ce secteur, devrait-il établir la frontière qui sépare la classe moyenne (cols blancs) des ouvriers qualifiés (cols bleus)? Par conséquent, seuls les ouvriers non qualifiés de l’industrie manufacturière, ainsi que la paysannerie, appartiendraient-ils à la classe ouvrière?</w:t>
      </w:r>
    </w:p>
    <w:p w:rsidR="005457F1" w:rsidRPr="00367B3C" w:rsidRDefault="005457F1" w:rsidP="005457F1">
      <w:pPr>
        <w:shd w:val="clear" w:color="auto" w:fill="FFFFFF"/>
        <w:spacing w:after="120"/>
        <w:jc w:val="both"/>
        <w:rPr>
          <w:rStyle w:val="auteur"/>
          <w:bCs/>
          <w:sz w:val="22"/>
          <w:szCs w:val="22"/>
        </w:rPr>
      </w:pPr>
      <w:r w:rsidRPr="00367B3C">
        <w:rPr>
          <w:rStyle w:val="auteur"/>
          <w:bCs/>
          <w:sz w:val="22"/>
          <w:szCs w:val="22"/>
        </w:rPr>
        <w:t>Les enquêtes entreprises de la Banque Mondiale (WBES) collectent des données sur l’éducation, le genre et l’âge des entrepreneurs. Cependant, l'échantillonnage est biaisé par la prépondérance de l’industrie manufacturière, et la faible représentation des microentreprises (</w:t>
      </w:r>
      <w:proofErr w:type="spellStart"/>
      <w:r w:rsidRPr="00367B3C">
        <w:rPr>
          <w:rStyle w:val="auteur"/>
          <w:bCs/>
          <w:sz w:val="22"/>
          <w:szCs w:val="22"/>
        </w:rPr>
        <w:t>Berguiga</w:t>
      </w:r>
      <w:proofErr w:type="spellEnd"/>
      <w:r w:rsidRPr="00367B3C">
        <w:rPr>
          <w:rStyle w:val="auteur"/>
          <w:bCs/>
          <w:sz w:val="22"/>
          <w:szCs w:val="22"/>
        </w:rPr>
        <w:t xml:space="preserve"> &amp; Adair, 2019).</w:t>
      </w:r>
    </w:p>
    <w:p w:rsidR="005457F1" w:rsidRPr="00367B3C" w:rsidRDefault="005457F1" w:rsidP="005457F1">
      <w:pPr>
        <w:spacing w:after="120"/>
        <w:jc w:val="both"/>
        <w:rPr>
          <w:sz w:val="22"/>
          <w:szCs w:val="22"/>
        </w:rPr>
      </w:pPr>
      <w:r w:rsidRPr="00367B3C">
        <w:rPr>
          <w:sz w:val="22"/>
          <w:szCs w:val="22"/>
        </w:rPr>
        <w:t>Le manque de données d’enquête pour analyser les modes de consommation à long terme dans les pays du Moyen-Orient et de l’Afrique du Nord (MENA) a été une raison majeure pour s’appuyer sur des définitions fondées sur les affiliations politiques et professionnelles, en tant que moteurs du comportement ou l’utilisation des définitions existantes du statut de la classe moyenne pour d’autres régions. Selon ESCWA (2014), l’adoption de ces définitions aboutit à des estimations de la classe moyenne dans la région MENA qui sont soit invraisemblablement restrictives (moins de 5 % de la population) ou exagérées (plus des trois quarts de la population).</w:t>
      </w:r>
    </w:p>
    <w:p w:rsidR="005457F1" w:rsidRPr="00367B3C" w:rsidRDefault="005457F1" w:rsidP="005457F1">
      <w:pPr>
        <w:spacing w:after="120"/>
        <w:jc w:val="both"/>
        <w:rPr>
          <w:sz w:val="22"/>
          <w:szCs w:val="22"/>
        </w:rPr>
      </w:pPr>
      <w:r w:rsidRPr="00367B3C">
        <w:rPr>
          <w:sz w:val="22"/>
          <w:szCs w:val="22"/>
        </w:rPr>
        <w:t xml:space="preserve">Quant à PEW (2015), il divise la population de chaque pays en cinq groupes fondés sur la consommation ou le revenu quotidien par habitant d’une famille : (i) pauvres, (ii) faible revenu, (iii) revenu moyen, (iv) revenu moyen supérieur et (v) revenu élevé. Les quatre seuils qui séparent les groupes de revenu respectifs sont 2 $, le revenu quotidien minimum par habitant pour sortir de la pauvreté, 10 $, le seuil pour atteindre le statut de revenu moyen, 20 $ pour entrer dans la catégorie de revenu moyen supérieur et 50 $ pour accéder à un revenu élevé. Les seuils sont exprimés en prix de 2011 et en parités de pouvoir d’achat de 2011. Voir aussi le catalogue de données de la Banque mondiale et </w:t>
      </w:r>
      <w:proofErr w:type="spellStart"/>
      <w:r w:rsidRPr="00367B3C">
        <w:rPr>
          <w:sz w:val="22"/>
          <w:szCs w:val="22"/>
        </w:rPr>
        <w:t>Kharas</w:t>
      </w:r>
      <w:proofErr w:type="spellEnd"/>
      <w:r w:rsidRPr="00367B3C">
        <w:rPr>
          <w:sz w:val="22"/>
          <w:szCs w:val="22"/>
        </w:rPr>
        <w:t xml:space="preserve"> (2010).</w:t>
      </w:r>
    </w:p>
    <w:p w:rsidR="005457F1" w:rsidRPr="00367B3C" w:rsidRDefault="005457F1" w:rsidP="005457F1">
      <w:pPr>
        <w:jc w:val="both"/>
        <w:rPr>
          <w:sz w:val="22"/>
          <w:szCs w:val="22"/>
        </w:rPr>
      </w:pPr>
      <w:r w:rsidRPr="00367B3C">
        <w:rPr>
          <w:sz w:val="22"/>
          <w:szCs w:val="22"/>
        </w:rPr>
        <w:t xml:space="preserve">Enfin, Dang et </w:t>
      </w:r>
      <w:proofErr w:type="spellStart"/>
      <w:r w:rsidRPr="00367B3C">
        <w:rPr>
          <w:sz w:val="22"/>
          <w:szCs w:val="22"/>
        </w:rPr>
        <w:t>Ianchovichina</w:t>
      </w:r>
      <w:proofErr w:type="spellEnd"/>
      <w:r w:rsidRPr="00367B3C">
        <w:rPr>
          <w:sz w:val="22"/>
          <w:szCs w:val="22"/>
        </w:rPr>
        <w:t xml:space="preserve"> (2016) estiment la taille de la classe moyenne en Égypte, en Jordanie, en Palestine et en Tunisie, en utilisant un seuil de revenu absolu. Le statut de classe moyenne est attribué aux personnes ayant un revenu supérieur à un seuil de vulnérabilité (soit la probabilité de tomber dans la pauvreté au cours de la période 2005-2010) à 4,9$ par jour et par personne en 2005. On observe alors une forte croissance de la classe moyenne en Tunisie, mais une dynamique négative pour l’Égypte, où sa taille a diminué considérablement, tandis que la taille de la classe moyenne en Jordanie n’a pas changé.</w:t>
      </w:r>
    </w:p>
    <w:p w:rsidR="005457F1" w:rsidRPr="00367B3C" w:rsidRDefault="005457F1" w:rsidP="005457F1">
      <w:pPr>
        <w:spacing w:before="120" w:after="120"/>
        <w:jc w:val="both"/>
        <w:rPr>
          <w:b/>
          <w:sz w:val="22"/>
          <w:szCs w:val="22"/>
        </w:rPr>
      </w:pPr>
      <w:r w:rsidRPr="00367B3C">
        <w:rPr>
          <w:b/>
          <w:sz w:val="22"/>
          <w:szCs w:val="22"/>
        </w:rPr>
        <w:t>La variété des approches de la dynamique sociale</w:t>
      </w:r>
    </w:p>
    <w:p w:rsidR="005457F1" w:rsidRPr="00367B3C" w:rsidRDefault="005457F1" w:rsidP="005457F1">
      <w:pPr>
        <w:spacing w:after="120"/>
        <w:jc w:val="both"/>
        <w:rPr>
          <w:sz w:val="22"/>
          <w:szCs w:val="22"/>
        </w:rPr>
      </w:pPr>
      <w:r w:rsidRPr="00367B3C">
        <w:rPr>
          <w:sz w:val="22"/>
          <w:szCs w:val="22"/>
        </w:rPr>
        <w:t>Des études sur la mobilité sociale dans les pays en développement ont récemment commencé à émerger (</w:t>
      </w:r>
      <w:proofErr w:type="spellStart"/>
      <w:r w:rsidRPr="00367B3C">
        <w:rPr>
          <w:sz w:val="22"/>
          <w:szCs w:val="22"/>
        </w:rPr>
        <w:t>Alesina</w:t>
      </w:r>
      <w:proofErr w:type="spellEnd"/>
      <w:r w:rsidRPr="00367B3C">
        <w:rPr>
          <w:sz w:val="22"/>
          <w:szCs w:val="22"/>
        </w:rPr>
        <w:t xml:space="preserve"> et al. 2021). </w:t>
      </w:r>
      <w:proofErr w:type="spellStart"/>
      <w:r w:rsidRPr="00367B3C">
        <w:rPr>
          <w:bCs/>
          <w:color w:val="000000"/>
          <w:sz w:val="22"/>
          <w:szCs w:val="22"/>
        </w:rPr>
        <w:t>Iversen</w:t>
      </w:r>
      <w:proofErr w:type="spellEnd"/>
      <w:r w:rsidRPr="00367B3C">
        <w:rPr>
          <w:bCs/>
          <w:color w:val="000000"/>
          <w:sz w:val="22"/>
          <w:szCs w:val="22"/>
        </w:rPr>
        <w:t xml:space="preserve"> et al. (</w:t>
      </w:r>
      <w:r w:rsidRPr="00367B3C">
        <w:rPr>
          <w:color w:val="000000"/>
          <w:sz w:val="22"/>
          <w:szCs w:val="22"/>
        </w:rPr>
        <w:t>2021) observent que l</w:t>
      </w:r>
      <w:r w:rsidRPr="00367B3C">
        <w:rPr>
          <w:sz w:val="22"/>
          <w:szCs w:val="22"/>
        </w:rPr>
        <w:t xml:space="preserve">es estimations de la mobilité sont souvent très </w:t>
      </w:r>
      <w:r w:rsidRPr="00367B3C">
        <w:rPr>
          <w:sz w:val="22"/>
          <w:szCs w:val="22"/>
        </w:rPr>
        <w:lastRenderedPageBreak/>
        <w:t xml:space="preserve">différentes, même pour le même pays, selon le concept et la mesure de la mobilité ainsi que les données utilisées, et selon que le revenu, l’éducation ou le statut professionnel soit la mesure pertinente de la réussite. </w:t>
      </w:r>
    </w:p>
    <w:p w:rsidR="005457F1" w:rsidRPr="00367B3C" w:rsidRDefault="005457F1" w:rsidP="005457F1">
      <w:pPr>
        <w:spacing w:after="120"/>
        <w:jc w:val="both"/>
        <w:rPr>
          <w:color w:val="202122"/>
          <w:sz w:val="22"/>
          <w:szCs w:val="22"/>
          <w:shd w:val="clear" w:color="auto" w:fill="FFFFFF"/>
        </w:rPr>
      </w:pPr>
      <w:r w:rsidRPr="00367B3C">
        <w:rPr>
          <w:sz w:val="22"/>
          <w:szCs w:val="22"/>
        </w:rPr>
        <w:t xml:space="preserve">Les sociologues et les historiens privilégient l’analyse des changements de classe ou de statut professionnel, en dépit des limites de </w:t>
      </w:r>
      <w:r w:rsidRPr="00367B3C">
        <w:rPr>
          <w:bCs/>
          <w:color w:val="202122"/>
          <w:sz w:val="22"/>
          <w:szCs w:val="22"/>
          <w:shd w:val="clear" w:color="auto" w:fill="FFFFFF"/>
        </w:rPr>
        <w:t xml:space="preserve">Classification Internationale Type des Professions </w:t>
      </w:r>
      <w:r w:rsidRPr="00367B3C">
        <w:rPr>
          <w:color w:val="202122"/>
          <w:sz w:val="22"/>
          <w:szCs w:val="22"/>
          <w:shd w:val="clear" w:color="auto" w:fill="FFFFFF"/>
        </w:rPr>
        <w:t>(</w:t>
      </w:r>
      <w:r w:rsidRPr="00367B3C">
        <w:rPr>
          <w:bCs/>
          <w:color w:val="202122"/>
          <w:sz w:val="22"/>
          <w:szCs w:val="22"/>
          <w:shd w:val="clear" w:color="auto" w:fill="FFFFFF"/>
        </w:rPr>
        <w:t>CITP. BIT</w:t>
      </w:r>
      <w:r w:rsidRPr="00367B3C">
        <w:rPr>
          <w:color w:val="202122"/>
          <w:sz w:val="22"/>
          <w:szCs w:val="22"/>
          <w:shd w:val="clear" w:color="auto" w:fill="FFFFFF"/>
        </w:rPr>
        <w:t xml:space="preserve">). La consommation est aussi un critère de différenciation. </w:t>
      </w:r>
      <w:r w:rsidRPr="00367B3C">
        <w:rPr>
          <w:sz w:val="22"/>
          <w:szCs w:val="22"/>
        </w:rPr>
        <w:t>Selon Bourdieu (1979), les classes moyennes imitent la consommation de la classe supérieure, écho de la lutte entre la nouvelle bourgeoisie (cadres du secteur privé, professions libérales) et la vieille bourgeoisie (propriétaires d’entreprises). La classe supérieure tend à se démarquer, tout comme la classe de loisirs de Veblen (1899).</w:t>
      </w:r>
    </w:p>
    <w:p w:rsidR="005457F1" w:rsidRPr="00367B3C" w:rsidRDefault="005457F1" w:rsidP="005457F1">
      <w:pPr>
        <w:spacing w:after="120"/>
        <w:jc w:val="both"/>
        <w:rPr>
          <w:sz w:val="22"/>
          <w:szCs w:val="22"/>
        </w:rPr>
      </w:pPr>
      <w:r w:rsidRPr="00367B3C">
        <w:rPr>
          <w:color w:val="202122"/>
          <w:sz w:val="22"/>
          <w:szCs w:val="22"/>
          <w:shd w:val="clear" w:color="auto" w:fill="FFFFFF"/>
        </w:rPr>
        <w:t>L</w:t>
      </w:r>
      <w:r w:rsidRPr="00367B3C">
        <w:rPr>
          <w:sz w:val="22"/>
          <w:szCs w:val="22"/>
        </w:rPr>
        <w:t xml:space="preserve">es économistes se sont concentrés sur l’étude du revenu ou de la mobilité des revenus, souvent à la suite de Becker et Tomes (1979), qui se fondent sur le rôle de l’investissement parental dans le capital humain et les attributs familiaux hérités dans la génération de la mobilité. Cependant, d’autres facteurs tels que la segmentation du marché du travail et les contraintes de crédit non incluses dans le modèle Becker-Tomes peuvent être importants dans les contextes des pays en développement. </w:t>
      </w:r>
    </w:p>
    <w:p w:rsidR="005457F1" w:rsidRPr="00367B3C" w:rsidRDefault="005457F1" w:rsidP="005457F1">
      <w:pPr>
        <w:spacing w:after="120"/>
        <w:jc w:val="both"/>
        <w:rPr>
          <w:sz w:val="22"/>
          <w:szCs w:val="22"/>
        </w:rPr>
      </w:pPr>
      <w:r w:rsidRPr="00367B3C">
        <w:rPr>
          <w:sz w:val="22"/>
          <w:szCs w:val="22"/>
        </w:rPr>
        <w:t xml:space="preserve">Relativement peu de progrès ont été réalisés dans l’identification des facteurs qui déterminent les niveaux élevés de persistance intergénérationnelle observés dans les pays en développement, où il y a une disponibilité limitée de panels granulaires et nationaux représentatifs et d’autres ensembles de données et de dossiers officiels fiables tels que les déclarations de revenus annuelles. </w:t>
      </w:r>
    </w:p>
    <w:p w:rsidR="005457F1" w:rsidRPr="00367B3C" w:rsidRDefault="005457F1" w:rsidP="005457F1">
      <w:pPr>
        <w:jc w:val="both"/>
        <w:rPr>
          <w:sz w:val="22"/>
          <w:szCs w:val="22"/>
        </w:rPr>
      </w:pPr>
      <w:r w:rsidRPr="00367B3C">
        <w:rPr>
          <w:sz w:val="22"/>
          <w:szCs w:val="22"/>
        </w:rPr>
        <w:t>Le changement d’orientation de l’étude de l’inégalité des résultats vers la mobilité intergénérationnelle marque le passage de l’analyse statique à l’analyse dynamique.</w:t>
      </w:r>
    </w:p>
    <w:p w:rsidR="005457F1" w:rsidRPr="00367B3C" w:rsidRDefault="005457F1" w:rsidP="005457F1">
      <w:pPr>
        <w:jc w:val="both"/>
        <w:rPr>
          <w:sz w:val="22"/>
          <w:szCs w:val="22"/>
        </w:rPr>
      </w:pPr>
      <w:r w:rsidRPr="00367B3C">
        <w:rPr>
          <w:sz w:val="22"/>
          <w:szCs w:val="22"/>
        </w:rPr>
        <w:t xml:space="preserve">En dehors de l’Égypte, l’analyse relative et absolue de la mobilité professionnelle intergénérationnelle dans la région MENA a été peu abordée, tandis que l’analyse comparative de </w:t>
      </w:r>
      <w:r w:rsidR="00B60C94">
        <w:rPr>
          <w:sz w:val="22"/>
          <w:szCs w:val="22"/>
        </w:rPr>
        <w:t xml:space="preserve">Clément </w:t>
      </w:r>
      <w:r w:rsidRPr="00367B3C">
        <w:rPr>
          <w:sz w:val="22"/>
          <w:szCs w:val="22"/>
        </w:rPr>
        <w:t>et al. (20</w:t>
      </w:r>
      <w:r w:rsidR="00B60C94">
        <w:rPr>
          <w:sz w:val="22"/>
          <w:szCs w:val="22"/>
        </w:rPr>
        <w:t>22</w:t>
      </w:r>
      <w:r w:rsidRPr="00367B3C">
        <w:rPr>
          <w:sz w:val="22"/>
          <w:szCs w:val="22"/>
        </w:rPr>
        <w:t>) ne concerne que la Turquie</w:t>
      </w:r>
      <w:r w:rsidR="00B60C94">
        <w:rPr>
          <w:sz w:val="22"/>
          <w:szCs w:val="22"/>
        </w:rPr>
        <w:t xml:space="preserve"> dans la région méditerranéenne</w:t>
      </w:r>
      <w:r w:rsidRPr="00367B3C">
        <w:rPr>
          <w:sz w:val="22"/>
          <w:szCs w:val="22"/>
        </w:rPr>
        <w:t>.</w:t>
      </w:r>
    </w:p>
    <w:p w:rsidR="005457F1" w:rsidRPr="00367B3C" w:rsidRDefault="005457F1" w:rsidP="005457F1">
      <w:pPr>
        <w:spacing w:after="120"/>
        <w:jc w:val="both"/>
        <w:rPr>
          <w:sz w:val="22"/>
          <w:szCs w:val="22"/>
        </w:rPr>
      </w:pPr>
      <w:r w:rsidRPr="00367B3C">
        <w:rPr>
          <w:sz w:val="22"/>
          <w:szCs w:val="22"/>
        </w:rPr>
        <w:t>Une analyse comparative peut tirer parti de la « courbe du grand Gatsby » (</w:t>
      </w:r>
      <w:proofErr w:type="spellStart"/>
      <w:r w:rsidRPr="00367B3C">
        <w:rPr>
          <w:sz w:val="22"/>
          <w:szCs w:val="22"/>
        </w:rPr>
        <w:t>Durlauf</w:t>
      </w:r>
      <w:proofErr w:type="spellEnd"/>
      <w:r w:rsidRPr="00367B3C">
        <w:rPr>
          <w:sz w:val="22"/>
          <w:szCs w:val="22"/>
        </w:rPr>
        <w:t xml:space="preserve"> et al. 2022), dans laquelle l’axe vertical représente le taux de mobilité sociale mesuré par l’élasticité-salaire intergénérationnelle (IGE) ; l’axe horizontal enregistre l’inégalité des revenus mesurée par le coefficient de Gini. Les pays où l’inégalité des revenus est plus grande sont également ceux où la mobilité sociale est plus faible.</w:t>
      </w:r>
    </w:p>
    <w:p w:rsidR="005457F1" w:rsidRPr="00367B3C" w:rsidRDefault="005457F1" w:rsidP="005457F1">
      <w:pPr>
        <w:spacing w:before="120" w:after="120"/>
        <w:jc w:val="both"/>
        <w:rPr>
          <w:b/>
          <w:sz w:val="22"/>
          <w:szCs w:val="22"/>
        </w:rPr>
      </w:pPr>
      <w:r w:rsidRPr="00367B3C">
        <w:rPr>
          <w:b/>
          <w:sz w:val="22"/>
          <w:szCs w:val="22"/>
        </w:rPr>
        <w:t>Références</w:t>
      </w:r>
    </w:p>
    <w:p w:rsidR="005457F1" w:rsidRPr="00367B3C" w:rsidRDefault="005457F1" w:rsidP="005457F1">
      <w:pPr>
        <w:ind w:left="284" w:hanging="284"/>
        <w:jc w:val="both"/>
        <w:rPr>
          <w:sz w:val="22"/>
          <w:szCs w:val="22"/>
          <w:lang w:val="en-GB"/>
        </w:rPr>
      </w:pPr>
      <w:proofErr w:type="spellStart"/>
      <w:r w:rsidRPr="00367B3C">
        <w:rPr>
          <w:sz w:val="22"/>
          <w:szCs w:val="22"/>
        </w:rPr>
        <w:t>Alesina</w:t>
      </w:r>
      <w:proofErr w:type="spellEnd"/>
      <w:r w:rsidRPr="00367B3C">
        <w:rPr>
          <w:sz w:val="22"/>
          <w:szCs w:val="22"/>
        </w:rPr>
        <w:t xml:space="preserve">, A., Hohmann, S. </w:t>
      </w:r>
      <w:proofErr w:type="spellStart"/>
      <w:r w:rsidRPr="00367B3C">
        <w:rPr>
          <w:sz w:val="22"/>
          <w:szCs w:val="22"/>
        </w:rPr>
        <w:t>Michaloupoulos</w:t>
      </w:r>
      <w:proofErr w:type="spellEnd"/>
      <w:r w:rsidRPr="00367B3C">
        <w:rPr>
          <w:sz w:val="22"/>
          <w:szCs w:val="22"/>
        </w:rPr>
        <w:t xml:space="preserve">, S. &amp; </w:t>
      </w:r>
      <w:proofErr w:type="spellStart"/>
      <w:r w:rsidRPr="00367B3C">
        <w:rPr>
          <w:sz w:val="22"/>
          <w:szCs w:val="22"/>
        </w:rPr>
        <w:t>Papaioannou</w:t>
      </w:r>
      <w:proofErr w:type="spellEnd"/>
      <w:r w:rsidRPr="00367B3C">
        <w:rPr>
          <w:sz w:val="22"/>
          <w:szCs w:val="22"/>
        </w:rPr>
        <w:t xml:space="preserve">, E. (2021). </w:t>
      </w:r>
      <w:r w:rsidRPr="00367B3C">
        <w:rPr>
          <w:sz w:val="22"/>
          <w:szCs w:val="22"/>
          <w:lang w:val="en-GB"/>
        </w:rPr>
        <w:t xml:space="preserve">Intergenerational Mobility in Africa. </w:t>
      </w:r>
      <w:proofErr w:type="spellStart"/>
      <w:r w:rsidRPr="00367B3C">
        <w:rPr>
          <w:i/>
          <w:sz w:val="22"/>
          <w:szCs w:val="22"/>
          <w:lang w:val="en-GB"/>
        </w:rPr>
        <w:t>Econometrica</w:t>
      </w:r>
      <w:proofErr w:type="spellEnd"/>
      <w:r w:rsidRPr="00367B3C">
        <w:rPr>
          <w:i/>
          <w:sz w:val="22"/>
          <w:szCs w:val="22"/>
          <w:lang w:val="en-GB"/>
        </w:rPr>
        <w:t>,</w:t>
      </w:r>
      <w:r w:rsidRPr="00367B3C">
        <w:rPr>
          <w:sz w:val="22"/>
          <w:szCs w:val="22"/>
          <w:lang w:val="en-GB"/>
        </w:rPr>
        <w:t xml:space="preserve"> 89(1): 1–35.</w:t>
      </w:r>
    </w:p>
    <w:p w:rsidR="005457F1" w:rsidRPr="00367B3C" w:rsidRDefault="005457F1" w:rsidP="005457F1">
      <w:pPr>
        <w:ind w:left="284" w:hanging="284"/>
        <w:jc w:val="both"/>
        <w:rPr>
          <w:sz w:val="22"/>
          <w:szCs w:val="22"/>
          <w:lang w:val="en-GB"/>
        </w:rPr>
      </w:pPr>
      <w:bookmarkStart w:id="1" w:name="_Hlk125989804"/>
      <w:r w:rsidRPr="00367B3C">
        <w:rPr>
          <w:sz w:val="22"/>
          <w:szCs w:val="22"/>
          <w:lang w:val="en-GB"/>
        </w:rPr>
        <w:t xml:space="preserve">Banerjee, A. &amp; </w:t>
      </w:r>
      <w:proofErr w:type="spellStart"/>
      <w:r w:rsidRPr="00367B3C">
        <w:rPr>
          <w:sz w:val="22"/>
          <w:szCs w:val="22"/>
          <w:lang w:val="en-GB"/>
        </w:rPr>
        <w:t>Duflo</w:t>
      </w:r>
      <w:proofErr w:type="spellEnd"/>
      <w:r w:rsidRPr="00367B3C">
        <w:rPr>
          <w:sz w:val="22"/>
          <w:szCs w:val="22"/>
          <w:lang w:val="en-GB"/>
        </w:rPr>
        <w:t xml:space="preserve">, E. (2008). What Is Middle Class about the Middle Classes around the </w:t>
      </w:r>
      <w:proofErr w:type="gramStart"/>
      <w:r w:rsidRPr="00367B3C">
        <w:rPr>
          <w:sz w:val="22"/>
          <w:szCs w:val="22"/>
          <w:lang w:val="en-GB"/>
        </w:rPr>
        <w:t>World ?</w:t>
      </w:r>
      <w:proofErr w:type="gramEnd"/>
      <w:r w:rsidRPr="00367B3C">
        <w:rPr>
          <w:sz w:val="22"/>
          <w:szCs w:val="22"/>
          <w:lang w:val="en-GB"/>
        </w:rPr>
        <w:t xml:space="preserve"> </w:t>
      </w:r>
      <w:r w:rsidRPr="00367B3C">
        <w:rPr>
          <w:i/>
          <w:sz w:val="22"/>
          <w:szCs w:val="22"/>
          <w:lang w:val="en-GB"/>
        </w:rPr>
        <w:t>Journal of Economic Perspective</w:t>
      </w:r>
      <w:r w:rsidRPr="00367B3C">
        <w:rPr>
          <w:sz w:val="22"/>
          <w:szCs w:val="22"/>
          <w:lang w:val="en-GB"/>
        </w:rPr>
        <w:t>, 22(2): 3-28.</w:t>
      </w:r>
    </w:p>
    <w:bookmarkEnd w:id="1"/>
    <w:p w:rsidR="005457F1" w:rsidRPr="00367B3C" w:rsidRDefault="005457F1" w:rsidP="005457F1">
      <w:pPr>
        <w:ind w:left="284" w:hanging="284"/>
        <w:jc w:val="both"/>
        <w:rPr>
          <w:sz w:val="22"/>
          <w:szCs w:val="22"/>
          <w:lang w:val="en-GB"/>
        </w:rPr>
      </w:pPr>
      <w:r w:rsidRPr="00367B3C">
        <w:rPr>
          <w:sz w:val="22"/>
          <w:szCs w:val="22"/>
          <w:lang w:val="en-GB"/>
        </w:rPr>
        <w:t xml:space="preserve">Becker, G. S., &amp; N. Tomes (1979). An Equilibrium Theory of the Distribution of Income and Intergenerational Mobility. </w:t>
      </w:r>
      <w:r w:rsidRPr="00367B3C">
        <w:rPr>
          <w:i/>
          <w:sz w:val="22"/>
          <w:szCs w:val="22"/>
          <w:lang w:val="en-GB"/>
        </w:rPr>
        <w:t>Journal of Political Economy</w:t>
      </w:r>
      <w:r w:rsidRPr="00367B3C">
        <w:rPr>
          <w:sz w:val="22"/>
          <w:szCs w:val="22"/>
          <w:lang w:val="en-GB"/>
        </w:rPr>
        <w:t>, 87(6): 1153–89.</w:t>
      </w:r>
    </w:p>
    <w:p w:rsidR="005457F1" w:rsidRPr="00367B3C" w:rsidRDefault="005457F1" w:rsidP="005457F1">
      <w:pPr>
        <w:ind w:left="284" w:hanging="284"/>
        <w:jc w:val="both"/>
        <w:rPr>
          <w:sz w:val="22"/>
          <w:szCs w:val="22"/>
          <w:lang w:val="en-US"/>
        </w:rPr>
      </w:pPr>
      <w:proofErr w:type="spellStart"/>
      <w:r w:rsidRPr="00367B3C">
        <w:rPr>
          <w:rStyle w:val="auteur"/>
          <w:bCs/>
          <w:sz w:val="22"/>
          <w:szCs w:val="22"/>
          <w:lang w:val="en-GB"/>
        </w:rPr>
        <w:t>Berguiga</w:t>
      </w:r>
      <w:proofErr w:type="spellEnd"/>
      <w:r w:rsidRPr="00367B3C">
        <w:rPr>
          <w:rStyle w:val="auteur"/>
          <w:bCs/>
          <w:sz w:val="22"/>
          <w:szCs w:val="22"/>
          <w:lang w:val="en-GB"/>
        </w:rPr>
        <w:t>, I. &amp; Adair, P. (2019).</w:t>
      </w:r>
      <w:r w:rsidRPr="00367B3C">
        <w:rPr>
          <w:color w:val="222222"/>
          <w:sz w:val="22"/>
          <w:szCs w:val="22"/>
          <w:lang w:val="en-GB" w:eastAsia="en-GB"/>
        </w:rPr>
        <w:t xml:space="preserve"> Funding Micro-Small and Medium size Enterprises in North Africa: Is there a mismatch between demand and supply</w:t>
      </w:r>
      <w:r w:rsidRPr="00367B3C">
        <w:rPr>
          <w:sz w:val="22"/>
          <w:szCs w:val="22"/>
          <w:lang w:val="en-US"/>
        </w:rPr>
        <w:t xml:space="preserve">? </w:t>
      </w:r>
      <w:r w:rsidRPr="00367B3C">
        <w:rPr>
          <w:i/>
          <w:sz w:val="22"/>
          <w:szCs w:val="22"/>
          <w:lang w:val="en-US"/>
        </w:rPr>
        <w:t>Economic Research Forum working papers series</w:t>
      </w:r>
      <w:r w:rsidRPr="00367B3C">
        <w:rPr>
          <w:sz w:val="22"/>
          <w:szCs w:val="22"/>
          <w:lang w:val="en-US"/>
        </w:rPr>
        <w:t xml:space="preserve"> 1350, Cairo, Egypt. </w:t>
      </w:r>
    </w:p>
    <w:p w:rsidR="005457F1" w:rsidRPr="00367B3C" w:rsidRDefault="005457F1" w:rsidP="005457F1">
      <w:pPr>
        <w:ind w:left="284" w:hanging="284"/>
        <w:jc w:val="both"/>
        <w:rPr>
          <w:sz w:val="22"/>
          <w:szCs w:val="22"/>
        </w:rPr>
      </w:pPr>
      <w:bookmarkStart w:id="2" w:name="_Hlk125989834"/>
      <w:r w:rsidRPr="00367B3C">
        <w:rPr>
          <w:sz w:val="22"/>
          <w:szCs w:val="22"/>
          <w:lang w:val="en-GB"/>
        </w:rPr>
        <w:t xml:space="preserve">Birdsall, N., Graham, C., &amp; </w:t>
      </w:r>
      <w:proofErr w:type="spellStart"/>
      <w:r w:rsidRPr="00367B3C">
        <w:rPr>
          <w:sz w:val="22"/>
          <w:szCs w:val="22"/>
          <w:lang w:val="en-GB"/>
        </w:rPr>
        <w:t>Pettinato</w:t>
      </w:r>
      <w:proofErr w:type="spellEnd"/>
      <w:r w:rsidRPr="00367B3C">
        <w:rPr>
          <w:sz w:val="22"/>
          <w:szCs w:val="22"/>
          <w:lang w:val="en-GB"/>
        </w:rPr>
        <w:t xml:space="preserve">, S. (2000) Stuck in </w:t>
      </w:r>
      <w:proofErr w:type="gramStart"/>
      <w:r w:rsidRPr="00367B3C">
        <w:rPr>
          <w:sz w:val="22"/>
          <w:szCs w:val="22"/>
          <w:lang w:val="en-GB"/>
        </w:rPr>
        <w:t>tunnel :</w:t>
      </w:r>
      <w:proofErr w:type="gramEnd"/>
      <w:r w:rsidRPr="00367B3C">
        <w:rPr>
          <w:sz w:val="22"/>
          <w:szCs w:val="22"/>
          <w:lang w:val="en-GB"/>
        </w:rPr>
        <w:t xml:space="preserve"> Is globalization muddling the middle ? </w:t>
      </w:r>
      <w:r w:rsidRPr="00367B3C">
        <w:rPr>
          <w:i/>
          <w:sz w:val="22"/>
          <w:szCs w:val="22"/>
        </w:rPr>
        <w:t xml:space="preserve">Brookings Institution </w:t>
      </w:r>
      <w:proofErr w:type="spellStart"/>
      <w:r w:rsidRPr="00367B3C">
        <w:rPr>
          <w:i/>
          <w:sz w:val="22"/>
          <w:szCs w:val="22"/>
        </w:rPr>
        <w:t>Working</w:t>
      </w:r>
      <w:proofErr w:type="spellEnd"/>
      <w:r w:rsidRPr="00367B3C">
        <w:rPr>
          <w:i/>
          <w:sz w:val="22"/>
          <w:szCs w:val="22"/>
        </w:rPr>
        <w:t xml:space="preserve"> Paper</w:t>
      </w:r>
      <w:r w:rsidRPr="00367B3C">
        <w:rPr>
          <w:sz w:val="22"/>
          <w:szCs w:val="22"/>
        </w:rPr>
        <w:t>, n° 14, Washington DC.</w:t>
      </w:r>
    </w:p>
    <w:p w:rsidR="005457F1" w:rsidRPr="00367B3C" w:rsidRDefault="005457F1" w:rsidP="005457F1">
      <w:pPr>
        <w:ind w:left="284" w:hanging="284"/>
        <w:jc w:val="both"/>
        <w:rPr>
          <w:sz w:val="22"/>
          <w:szCs w:val="22"/>
        </w:rPr>
      </w:pPr>
      <w:r w:rsidRPr="00367B3C">
        <w:rPr>
          <w:sz w:val="22"/>
          <w:szCs w:val="22"/>
        </w:rPr>
        <w:t xml:space="preserve">Bourdieu, P. (1972). </w:t>
      </w:r>
      <w:r w:rsidRPr="00367B3C">
        <w:rPr>
          <w:i/>
          <w:sz w:val="22"/>
          <w:szCs w:val="22"/>
        </w:rPr>
        <w:t>Esquisse d'une théorie de la pratique</w:t>
      </w:r>
      <w:r w:rsidRPr="00367B3C">
        <w:rPr>
          <w:sz w:val="22"/>
          <w:szCs w:val="22"/>
        </w:rPr>
        <w:t>. Genève: Librairie Droz.</w:t>
      </w:r>
    </w:p>
    <w:bookmarkEnd w:id="2"/>
    <w:p w:rsidR="005457F1" w:rsidRPr="005D7133" w:rsidRDefault="005457F1" w:rsidP="005457F1">
      <w:pPr>
        <w:ind w:left="284" w:hanging="284"/>
        <w:jc w:val="both"/>
        <w:rPr>
          <w:color w:val="000000"/>
          <w:sz w:val="22"/>
          <w:szCs w:val="22"/>
        </w:rPr>
      </w:pPr>
      <w:r w:rsidRPr="00367B3C">
        <w:rPr>
          <w:color w:val="000000"/>
          <w:sz w:val="22"/>
          <w:szCs w:val="22"/>
        </w:rPr>
        <w:t xml:space="preserve">Bourdieu, P. (1979). </w:t>
      </w:r>
      <w:r w:rsidRPr="00367B3C">
        <w:rPr>
          <w:i/>
          <w:iCs/>
          <w:color w:val="000000"/>
          <w:sz w:val="22"/>
          <w:szCs w:val="22"/>
        </w:rPr>
        <w:t>La Distinction. Critique sociale du jugement</w:t>
      </w:r>
      <w:r w:rsidRPr="00367B3C">
        <w:rPr>
          <w:color w:val="000000"/>
          <w:sz w:val="22"/>
          <w:szCs w:val="22"/>
        </w:rPr>
        <w:t xml:space="preserve">. </w:t>
      </w:r>
      <w:r w:rsidRPr="005D7133">
        <w:rPr>
          <w:color w:val="000000"/>
          <w:sz w:val="22"/>
          <w:szCs w:val="22"/>
        </w:rPr>
        <w:t>Paris : Minuit.</w:t>
      </w:r>
    </w:p>
    <w:p w:rsidR="005457F1" w:rsidRPr="00367B3C" w:rsidRDefault="005457F1" w:rsidP="005457F1">
      <w:pPr>
        <w:ind w:left="284" w:hanging="284"/>
        <w:jc w:val="both"/>
        <w:rPr>
          <w:sz w:val="22"/>
          <w:szCs w:val="22"/>
          <w:lang w:val="en-GB"/>
        </w:rPr>
      </w:pPr>
      <w:bookmarkStart w:id="3" w:name="_Hlk125989894"/>
      <w:r w:rsidRPr="00367B3C">
        <w:rPr>
          <w:sz w:val="22"/>
          <w:szCs w:val="22"/>
        </w:rPr>
        <w:t xml:space="preserve">Clément, M., Rougier, E., </w:t>
      </w:r>
      <w:proofErr w:type="spellStart"/>
      <w:r w:rsidRPr="00367B3C">
        <w:rPr>
          <w:sz w:val="22"/>
          <w:szCs w:val="22"/>
        </w:rPr>
        <w:t>Berrou</w:t>
      </w:r>
      <w:proofErr w:type="spellEnd"/>
      <w:r w:rsidRPr="00367B3C">
        <w:rPr>
          <w:sz w:val="22"/>
          <w:szCs w:val="22"/>
        </w:rPr>
        <w:t xml:space="preserve">, J.P., </w:t>
      </w:r>
      <w:proofErr w:type="spellStart"/>
      <w:r w:rsidRPr="00367B3C">
        <w:rPr>
          <w:sz w:val="22"/>
          <w:szCs w:val="22"/>
        </w:rPr>
        <w:t>Combarnous</w:t>
      </w:r>
      <w:proofErr w:type="spellEnd"/>
      <w:r w:rsidRPr="00367B3C">
        <w:rPr>
          <w:sz w:val="22"/>
          <w:szCs w:val="22"/>
        </w:rPr>
        <w:t>, F., &amp; Darbon, D. (2022)</w:t>
      </w:r>
      <w:r w:rsidR="00367B3C" w:rsidRPr="00367B3C">
        <w:rPr>
          <w:sz w:val="22"/>
          <w:szCs w:val="22"/>
        </w:rPr>
        <w:t xml:space="preserve">. </w:t>
      </w:r>
      <w:r w:rsidRPr="00367B3C">
        <w:rPr>
          <w:sz w:val="22"/>
          <w:szCs w:val="22"/>
          <w:lang w:val="en-GB"/>
        </w:rPr>
        <w:t xml:space="preserve">What’s in the middle: Scratching beneath the surface of the middle class(es) in Brazil, Côte d’Ivoire, Turkey and Vietnam, </w:t>
      </w:r>
      <w:r w:rsidRPr="00367B3C">
        <w:rPr>
          <w:i/>
          <w:sz w:val="22"/>
          <w:szCs w:val="22"/>
          <w:lang w:val="en-GB"/>
        </w:rPr>
        <w:t>World Development</w:t>
      </w:r>
      <w:r w:rsidRPr="00367B3C">
        <w:rPr>
          <w:sz w:val="22"/>
          <w:szCs w:val="22"/>
          <w:lang w:val="en-GB"/>
        </w:rPr>
        <w:t>, 158.</w:t>
      </w:r>
    </w:p>
    <w:bookmarkEnd w:id="3"/>
    <w:p w:rsidR="005457F1" w:rsidRPr="00367B3C" w:rsidRDefault="005457F1" w:rsidP="005457F1">
      <w:pPr>
        <w:ind w:left="284" w:hanging="284"/>
        <w:jc w:val="both"/>
        <w:rPr>
          <w:color w:val="000000"/>
          <w:sz w:val="22"/>
          <w:szCs w:val="22"/>
          <w:shd w:val="clear" w:color="auto" w:fill="FFFFFF"/>
        </w:rPr>
      </w:pPr>
      <w:r w:rsidRPr="00367B3C">
        <w:rPr>
          <w:rStyle w:val="auteur"/>
          <w:bCs/>
          <w:sz w:val="22"/>
          <w:szCs w:val="22"/>
        </w:rPr>
        <w:t xml:space="preserve">Damon, J. (2013). </w:t>
      </w:r>
      <w:r w:rsidRPr="00367B3C">
        <w:rPr>
          <w:bCs/>
          <w:i/>
          <w:sz w:val="22"/>
          <w:szCs w:val="22"/>
        </w:rPr>
        <w:t>Les classes moyennes</w:t>
      </w:r>
      <w:r w:rsidRPr="00367B3C">
        <w:rPr>
          <w:bCs/>
          <w:sz w:val="22"/>
          <w:szCs w:val="22"/>
        </w:rPr>
        <w:t xml:space="preserve">. </w:t>
      </w:r>
      <w:proofErr w:type="spellStart"/>
      <w:r w:rsidRPr="00367B3C">
        <w:rPr>
          <w:color w:val="000000"/>
          <w:sz w:val="22"/>
          <w:szCs w:val="22"/>
          <w:shd w:val="clear" w:color="auto" w:fill="FFFFFF"/>
        </w:rPr>
        <w:t>Puf</w:t>
      </w:r>
      <w:proofErr w:type="spellEnd"/>
      <w:r w:rsidRPr="00367B3C">
        <w:rPr>
          <w:color w:val="000000"/>
          <w:sz w:val="22"/>
          <w:szCs w:val="22"/>
          <w:shd w:val="clear" w:color="auto" w:fill="FFFFFF"/>
        </w:rPr>
        <w:t>. Que sais-je ?</w:t>
      </w:r>
    </w:p>
    <w:p w:rsidR="005457F1" w:rsidRPr="00367B3C" w:rsidRDefault="005457F1" w:rsidP="005457F1">
      <w:pPr>
        <w:ind w:left="284" w:hanging="284"/>
        <w:jc w:val="both"/>
        <w:rPr>
          <w:rStyle w:val="in-revue"/>
          <w:sz w:val="22"/>
          <w:szCs w:val="22"/>
          <w:lang w:val="en-GB"/>
        </w:rPr>
      </w:pPr>
      <w:r w:rsidRPr="00367B3C">
        <w:rPr>
          <w:rStyle w:val="auteur"/>
          <w:bCs/>
          <w:sz w:val="22"/>
          <w:szCs w:val="22"/>
        </w:rPr>
        <w:t xml:space="preserve">Damon, J. (2012). </w:t>
      </w:r>
      <w:r w:rsidRPr="00367B3C">
        <w:rPr>
          <w:bCs/>
          <w:sz w:val="22"/>
          <w:szCs w:val="22"/>
        </w:rPr>
        <w:t xml:space="preserve">Les classes moyennes : définitions et situations. </w:t>
      </w:r>
      <w:r w:rsidRPr="00367B3C">
        <w:rPr>
          <w:bCs/>
          <w:i/>
          <w:sz w:val="22"/>
          <w:szCs w:val="22"/>
          <w:lang w:val="en-GB"/>
        </w:rPr>
        <w:t>Etudes</w:t>
      </w:r>
      <w:r w:rsidRPr="00367B3C">
        <w:rPr>
          <w:bCs/>
          <w:sz w:val="22"/>
          <w:szCs w:val="22"/>
          <w:lang w:val="en-GB"/>
        </w:rPr>
        <w:t>.</w:t>
      </w:r>
      <w:r w:rsidRPr="00367B3C">
        <w:rPr>
          <w:rStyle w:val="in-revue"/>
          <w:bCs/>
          <w:sz w:val="22"/>
          <w:szCs w:val="22"/>
          <w:lang w:val="en-GB"/>
        </w:rPr>
        <w:t xml:space="preserve"> 416(5)</w:t>
      </w:r>
      <w:r w:rsidRPr="00367B3C">
        <w:rPr>
          <w:rStyle w:val="in-revue"/>
          <w:sz w:val="22"/>
          <w:szCs w:val="22"/>
          <w:lang w:val="en-GB"/>
        </w:rPr>
        <w:t>. 605-616.</w:t>
      </w:r>
    </w:p>
    <w:p w:rsidR="005457F1" w:rsidRPr="00367B3C" w:rsidRDefault="005457F1" w:rsidP="005457F1">
      <w:pPr>
        <w:ind w:left="284" w:hanging="284"/>
        <w:jc w:val="both"/>
        <w:rPr>
          <w:sz w:val="22"/>
          <w:szCs w:val="22"/>
          <w:lang w:val="en-GB"/>
        </w:rPr>
      </w:pPr>
      <w:r w:rsidRPr="00367B3C">
        <w:rPr>
          <w:sz w:val="22"/>
          <w:szCs w:val="22"/>
          <w:lang w:val="en-GB"/>
        </w:rPr>
        <w:t xml:space="preserve">Dang, H.-A. H. &amp; </w:t>
      </w:r>
      <w:proofErr w:type="spellStart"/>
      <w:r w:rsidRPr="00367B3C">
        <w:rPr>
          <w:sz w:val="22"/>
          <w:szCs w:val="22"/>
          <w:lang w:val="en-GB"/>
        </w:rPr>
        <w:t>Ianchovichina</w:t>
      </w:r>
      <w:proofErr w:type="spellEnd"/>
      <w:r w:rsidRPr="00367B3C">
        <w:rPr>
          <w:sz w:val="22"/>
          <w:szCs w:val="22"/>
          <w:lang w:val="en-GB"/>
        </w:rPr>
        <w:t xml:space="preserve">, E. (2016). Welfare Dynamics with Synthetic Panels: The Case of the Arab World in Transition. </w:t>
      </w:r>
      <w:r w:rsidRPr="00367B3C">
        <w:rPr>
          <w:i/>
          <w:sz w:val="22"/>
          <w:szCs w:val="22"/>
          <w:lang w:val="en-GB"/>
        </w:rPr>
        <w:t>Policy Research Working Paper</w:t>
      </w:r>
      <w:r w:rsidRPr="00367B3C">
        <w:rPr>
          <w:sz w:val="22"/>
          <w:szCs w:val="22"/>
          <w:lang w:val="en-GB"/>
        </w:rPr>
        <w:t xml:space="preserve"> 7595. The World Bank</w:t>
      </w:r>
    </w:p>
    <w:p w:rsidR="005457F1" w:rsidRPr="00367B3C" w:rsidRDefault="005457F1" w:rsidP="005457F1">
      <w:pPr>
        <w:ind w:left="284" w:hanging="284"/>
        <w:jc w:val="both"/>
        <w:rPr>
          <w:sz w:val="22"/>
          <w:szCs w:val="22"/>
          <w:lang w:val="en-GB"/>
        </w:rPr>
      </w:pPr>
      <w:proofErr w:type="spellStart"/>
      <w:r w:rsidRPr="00367B3C">
        <w:rPr>
          <w:bCs/>
          <w:color w:val="333333"/>
          <w:sz w:val="22"/>
          <w:szCs w:val="22"/>
          <w:lang w:val="en-GB"/>
        </w:rPr>
        <w:t>Durlauf</w:t>
      </w:r>
      <w:proofErr w:type="spellEnd"/>
      <w:r w:rsidRPr="00367B3C">
        <w:rPr>
          <w:bCs/>
          <w:color w:val="333333"/>
          <w:sz w:val="22"/>
          <w:szCs w:val="22"/>
          <w:lang w:val="en-GB"/>
        </w:rPr>
        <w:t xml:space="preserve">, S. N., </w:t>
      </w:r>
      <w:proofErr w:type="spellStart"/>
      <w:r w:rsidRPr="00367B3C">
        <w:rPr>
          <w:bCs/>
          <w:color w:val="333333"/>
          <w:sz w:val="22"/>
          <w:szCs w:val="22"/>
          <w:lang w:val="en-GB"/>
        </w:rPr>
        <w:t>Kourtellos</w:t>
      </w:r>
      <w:proofErr w:type="spellEnd"/>
      <w:r w:rsidRPr="00367B3C">
        <w:rPr>
          <w:bCs/>
          <w:color w:val="333333"/>
          <w:sz w:val="22"/>
          <w:szCs w:val="22"/>
          <w:lang w:val="en-GB"/>
        </w:rPr>
        <w:t xml:space="preserve">, A., &amp; Tan, C. M. (2022). </w:t>
      </w:r>
      <w:r w:rsidRPr="00367B3C">
        <w:rPr>
          <w:sz w:val="22"/>
          <w:szCs w:val="22"/>
          <w:lang w:val="en-GB"/>
        </w:rPr>
        <w:t xml:space="preserve">The Great Gatsby Curve. </w:t>
      </w:r>
      <w:r w:rsidRPr="00367B3C">
        <w:rPr>
          <w:rStyle w:val="lev"/>
          <w:b w:val="0"/>
          <w:i/>
          <w:sz w:val="22"/>
          <w:szCs w:val="22"/>
          <w:lang w:val="en-GB"/>
        </w:rPr>
        <w:t>Annual Review of Economics,</w:t>
      </w:r>
      <w:r w:rsidRPr="00367B3C">
        <w:rPr>
          <w:b/>
          <w:sz w:val="22"/>
          <w:szCs w:val="22"/>
          <w:lang w:val="en-GB"/>
        </w:rPr>
        <w:t xml:space="preserve"> </w:t>
      </w:r>
      <w:r w:rsidRPr="00367B3C">
        <w:rPr>
          <w:sz w:val="22"/>
          <w:szCs w:val="22"/>
          <w:lang w:val="en-GB"/>
        </w:rPr>
        <w:t>14: 571-605.</w:t>
      </w:r>
    </w:p>
    <w:p w:rsidR="005457F1" w:rsidRPr="00367B3C" w:rsidRDefault="005457F1" w:rsidP="005457F1">
      <w:pPr>
        <w:ind w:left="284" w:hanging="284"/>
        <w:jc w:val="both"/>
        <w:rPr>
          <w:sz w:val="22"/>
          <w:szCs w:val="22"/>
          <w:lang w:val="en-GB"/>
        </w:rPr>
      </w:pPr>
      <w:r w:rsidRPr="00367B3C">
        <w:rPr>
          <w:color w:val="333333"/>
          <w:sz w:val="22"/>
          <w:szCs w:val="22"/>
          <w:lang w:val="en-GB"/>
        </w:rPr>
        <w:lastRenderedPageBreak/>
        <w:t xml:space="preserve">ESCWA (2014). </w:t>
      </w:r>
      <w:r w:rsidRPr="00367B3C">
        <w:rPr>
          <w:i/>
          <w:sz w:val="22"/>
          <w:szCs w:val="22"/>
          <w:lang w:val="en-GB"/>
        </w:rPr>
        <w:t>Arab Middle Class Measurement and role in driving change</w:t>
      </w:r>
      <w:r w:rsidRPr="00367B3C">
        <w:rPr>
          <w:sz w:val="22"/>
          <w:szCs w:val="22"/>
          <w:lang w:val="en-GB"/>
        </w:rPr>
        <w:t>. Economic and Social Commission for Western Asia. United Nations: Beirut.</w:t>
      </w:r>
    </w:p>
    <w:p w:rsidR="005457F1" w:rsidRPr="00367B3C" w:rsidRDefault="005457F1" w:rsidP="005457F1">
      <w:pPr>
        <w:ind w:left="284" w:hanging="284"/>
        <w:jc w:val="both"/>
        <w:rPr>
          <w:color w:val="333333"/>
          <w:sz w:val="22"/>
          <w:szCs w:val="22"/>
          <w:lang w:val="en-GB"/>
        </w:rPr>
      </w:pPr>
      <w:bookmarkStart w:id="4" w:name="_Hlk125989937"/>
      <w:r w:rsidRPr="00367B3C">
        <w:rPr>
          <w:color w:val="333333"/>
          <w:sz w:val="22"/>
          <w:szCs w:val="22"/>
          <w:lang w:val="en-GB"/>
        </w:rPr>
        <w:t xml:space="preserve">Easterly, W. (2001). The middle class consensus and economic development. </w:t>
      </w:r>
      <w:r w:rsidRPr="00367B3C">
        <w:rPr>
          <w:i/>
          <w:color w:val="333333"/>
          <w:sz w:val="22"/>
          <w:szCs w:val="22"/>
          <w:lang w:val="en-GB"/>
        </w:rPr>
        <w:t>Journal of Economic Growth</w:t>
      </w:r>
      <w:r w:rsidRPr="00367B3C">
        <w:rPr>
          <w:color w:val="333333"/>
          <w:sz w:val="22"/>
          <w:szCs w:val="22"/>
          <w:lang w:val="en-GB"/>
        </w:rPr>
        <w:t>, 6(4): 317-335.</w:t>
      </w:r>
    </w:p>
    <w:bookmarkEnd w:id="4"/>
    <w:p w:rsidR="005457F1" w:rsidRPr="00367B3C" w:rsidRDefault="005457F1" w:rsidP="005457F1">
      <w:pPr>
        <w:ind w:left="284" w:hanging="284"/>
        <w:jc w:val="both"/>
        <w:rPr>
          <w:sz w:val="22"/>
          <w:szCs w:val="22"/>
          <w:lang w:val="en-GB"/>
        </w:rPr>
      </w:pPr>
      <w:r w:rsidRPr="00367B3C">
        <w:rPr>
          <w:bCs/>
          <w:color w:val="000000"/>
          <w:sz w:val="22"/>
          <w:szCs w:val="22"/>
          <w:lang w:val="en-GB"/>
        </w:rPr>
        <w:t>Iversen. V., Krishna. A. &amp; Sen, K. (</w:t>
      </w:r>
      <w:r w:rsidRPr="00367B3C">
        <w:rPr>
          <w:color w:val="000000"/>
          <w:sz w:val="22"/>
          <w:szCs w:val="22"/>
          <w:lang w:val="en-GB"/>
        </w:rPr>
        <w:t xml:space="preserve">2021). </w:t>
      </w:r>
      <w:hyperlink r:id="rId12" w:history="1">
        <w:r w:rsidRPr="00367B3C">
          <w:rPr>
            <w:i/>
            <w:sz w:val="22"/>
            <w:szCs w:val="22"/>
            <w:lang w:val="en-GB"/>
          </w:rPr>
          <w:t>Social Mobility in Developing Countries: Concepts, Methods and Determinants</w:t>
        </w:r>
      </w:hyperlink>
      <w:r w:rsidRPr="00367B3C">
        <w:rPr>
          <w:sz w:val="22"/>
          <w:szCs w:val="22"/>
          <w:lang w:val="en-GB"/>
        </w:rPr>
        <w:t>. Oxford University Press.</w:t>
      </w:r>
    </w:p>
    <w:p w:rsidR="005457F1" w:rsidRPr="00367B3C" w:rsidRDefault="005457F1" w:rsidP="005457F1">
      <w:pPr>
        <w:ind w:left="284" w:hanging="284"/>
        <w:jc w:val="both"/>
        <w:rPr>
          <w:sz w:val="22"/>
          <w:szCs w:val="22"/>
        </w:rPr>
      </w:pPr>
      <w:proofErr w:type="spellStart"/>
      <w:r w:rsidRPr="00367B3C">
        <w:rPr>
          <w:sz w:val="22"/>
          <w:szCs w:val="22"/>
          <w:lang w:val="en-GB"/>
        </w:rPr>
        <w:t>Kharas</w:t>
      </w:r>
      <w:proofErr w:type="spellEnd"/>
      <w:r w:rsidRPr="00367B3C">
        <w:rPr>
          <w:sz w:val="22"/>
          <w:szCs w:val="22"/>
          <w:lang w:val="en-GB"/>
        </w:rPr>
        <w:t xml:space="preserve">, H. (2010). The Emerging Middle Class in Developing Countries. </w:t>
      </w:r>
      <w:proofErr w:type="spellStart"/>
      <w:r w:rsidRPr="00367B3C">
        <w:rPr>
          <w:i/>
          <w:sz w:val="22"/>
          <w:szCs w:val="22"/>
        </w:rPr>
        <w:t>Development</w:t>
      </w:r>
      <w:proofErr w:type="spellEnd"/>
      <w:r w:rsidRPr="00367B3C">
        <w:rPr>
          <w:i/>
          <w:sz w:val="22"/>
          <w:szCs w:val="22"/>
        </w:rPr>
        <w:t xml:space="preserve"> Centre </w:t>
      </w:r>
      <w:proofErr w:type="spellStart"/>
      <w:r w:rsidRPr="00367B3C">
        <w:rPr>
          <w:i/>
          <w:sz w:val="22"/>
          <w:szCs w:val="22"/>
        </w:rPr>
        <w:t>Working</w:t>
      </w:r>
      <w:proofErr w:type="spellEnd"/>
      <w:r w:rsidRPr="00367B3C">
        <w:rPr>
          <w:i/>
          <w:sz w:val="22"/>
          <w:szCs w:val="22"/>
        </w:rPr>
        <w:t xml:space="preserve"> Paper </w:t>
      </w:r>
      <w:r w:rsidRPr="00367B3C">
        <w:rPr>
          <w:sz w:val="22"/>
          <w:szCs w:val="22"/>
          <w:shd w:val="clear" w:color="auto" w:fill="FFFFFF"/>
        </w:rPr>
        <w:t>No. 285</w:t>
      </w:r>
      <w:r w:rsidRPr="00367B3C">
        <w:rPr>
          <w:sz w:val="22"/>
          <w:szCs w:val="22"/>
        </w:rPr>
        <w:t>. Paris: OECD.</w:t>
      </w:r>
    </w:p>
    <w:p w:rsidR="005457F1" w:rsidRPr="00367B3C" w:rsidRDefault="005457F1" w:rsidP="005457F1">
      <w:pPr>
        <w:ind w:left="284" w:hanging="284"/>
        <w:jc w:val="both"/>
        <w:rPr>
          <w:bCs/>
          <w:color w:val="202122"/>
          <w:sz w:val="22"/>
          <w:szCs w:val="22"/>
          <w:shd w:val="clear" w:color="auto" w:fill="FFFFFF"/>
        </w:rPr>
      </w:pPr>
      <w:r w:rsidRPr="00367B3C">
        <w:rPr>
          <w:bCs/>
          <w:color w:val="202122"/>
          <w:sz w:val="22"/>
          <w:szCs w:val="22"/>
          <w:shd w:val="clear" w:color="auto" w:fill="FFFFFF"/>
        </w:rPr>
        <w:t xml:space="preserve">OIT (2008). </w:t>
      </w:r>
      <w:r w:rsidRPr="00367B3C">
        <w:rPr>
          <w:color w:val="000000"/>
          <w:sz w:val="22"/>
          <w:szCs w:val="22"/>
        </w:rPr>
        <w:t>Classification internationale type des professions (CITP-08)</w:t>
      </w:r>
      <w:r w:rsidRPr="00367B3C">
        <w:rPr>
          <w:bCs/>
          <w:color w:val="202122"/>
          <w:sz w:val="22"/>
          <w:szCs w:val="22"/>
          <w:shd w:val="clear" w:color="auto" w:fill="FFFFFF"/>
        </w:rPr>
        <w:t xml:space="preserve"> Organisation Internationale du Travail, Genève.</w:t>
      </w:r>
    </w:p>
    <w:p w:rsidR="005457F1" w:rsidRPr="00367B3C" w:rsidRDefault="005457F1" w:rsidP="005457F1">
      <w:pPr>
        <w:ind w:left="284" w:hanging="284"/>
        <w:jc w:val="both"/>
        <w:rPr>
          <w:sz w:val="22"/>
          <w:szCs w:val="22"/>
          <w:shd w:val="clear" w:color="auto" w:fill="FFFFFF"/>
          <w:lang w:val="en-GB"/>
        </w:rPr>
      </w:pPr>
      <w:r w:rsidRPr="00367B3C">
        <w:rPr>
          <w:sz w:val="22"/>
          <w:szCs w:val="22"/>
          <w:shd w:val="clear" w:color="auto" w:fill="FFFFFF"/>
          <w:lang w:val="en-GB"/>
        </w:rPr>
        <w:t xml:space="preserve">Mills C. Wright (1951). </w:t>
      </w:r>
      <w:r w:rsidRPr="00367B3C">
        <w:rPr>
          <w:i/>
          <w:sz w:val="22"/>
          <w:szCs w:val="22"/>
          <w:shd w:val="clear" w:color="auto" w:fill="FFFFFF"/>
          <w:lang w:val="en-GB"/>
        </w:rPr>
        <w:t>White Collar. The American Middle Classes</w:t>
      </w:r>
      <w:r w:rsidRPr="00367B3C">
        <w:rPr>
          <w:sz w:val="22"/>
          <w:szCs w:val="22"/>
          <w:shd w:val="clear" w:color="auto" w:fill="FFFFFF"/>
          <w:lang w:val="en-GB"/>
        </w:rPr>
        <w:t xml:space="preserve">. Oxford University Press. </w:t>
      </w:r>
    </w:p>
    <w:p w:rsidR="005457F1" w:rsidRPr="00367B3C" w:rsidRDefault="005457F1" w:rsidP="005457F1">
      <w:pPr>
        <w:ind w:left="284" w:hanging="284"/>
        <w:jc w:val="both"/>
        <w:rPr>
          <w:color w:val="202122"/>
          <w:sz w:val="22"/>
          <w:szCs w:val="22"/>
          <w:shd w:val="clear" w:color="auto" w:fill="FFFFFF"/>
          <w:lang w:val="en-GB"/>
        </w:rPr>
      </w:pPr>
      <w:r w:rsidRPr="00367B3C">
        <w:rPr>
          <w:sz w:val="22"/>
          <w:szCs w:val="22"/>
          <w:lang w:val="en-GB"/>
        </w:rPr>
        <w:t xml:space="preserve">PEW (2015). </w:t>
      </w:r>
      <w:hyperlink r:id="rId13" w:history="1">
        <w:r w:rsidRPr="00367B3C">
          <w:rPr>
            <w:rStyle w:val="Lienhypertexte"/>
            <w:bCs/>
            <w:i/>
            <w:color w:val="auto"/>
            <w:sz w:val="22"/>
            <w:szCs w:val="22"/>
            <w:u w:val="none"/>
            <w:shd w:val="clear" w:color="auto" w:fill="FFFFFF"/>
            <w:lang w:val="en-GB"/>
          </w:rPr>
          <w:t>A Global Middle Class Is More Promise than Reality</w:t>
        </w:r>
      </w:hyperlink>
      <w:r w:rsidRPr="00367B3C">
        <w:rPr>
          <w:i/>
          <w:sz w:val="22"/>
          <w:szCs w:val="22"/>
          <w:lang w:val="en-GB"/>
        </w:rPr>
        <w:t xml:space="preserve"> </w:t>
      </w:r>
      <w:r w:rsidRPr="00367B3C">
        <w:rPr>
          <w:sz w:val="22"/>
          <w:szCs w:val="22"/>
          <w:lang w:val="en-GB"/>
        </w:rPr>
        <w:t xml:space="preserve">Report </w:t>
      </w:r>
      <w:hyperlink r:id="rId14" w:history="1">
        <w:r w:rsidRPr="00367B3C">
          <w:rPr>
            <w:rStyle w:val="Lienhypertexte"/>
            <w:sz w:val="22"/>
            <w:szCs w:val="22"/>
            <w:lang w:val="en-GB"/>
          </w:rPr>
          <w:t>www.pewresearch.org</w:t>
        </w:r>
      </w:hyperlink>
      <w:r w:rsidRPr="00367B3C">
        <w:rPr>
          <w:sz w:val="22"/>
          <w:szCs w:val="22"/>
          <w:lang w:val="en-GB"/>
        </w:rPr>
        <w:t xml:space="preserve"> </w:t>
      </w:r>
      <w:r w:rsidRPr="00367B3C">
        <w:rPr>
          <w:color w:val="202122"/>
          <w:sz w:val="22"/>
          <w:szCs w:val="22"/>
          <w:shd w:val="clear" w:color="auto" w:fill="FFFFFF"/>
          <w:lang w:val="en-GB"/>
        </w:rPr>
        <w:t xml:space="preserve">Pew Research </w:t>
      </w:r>
      <w:proofErr w:type="spellStart"/>
      <w:r w:rsidRPr="00367B3C">
        <w:rPr>
          <w:color w:val="202122"/>
          <w:sz w:val="22"/>
          <w:szCs w:val="22"/>
          <w:shd w:val="clear" w:color="auto" w:fill="FFFFFF"/>
          <w:lang w:val="en-GB"/>
        </w:rPr>
        <w:t>Center</w:t>
      </w:r>
      <w:proofErr w:type="spellEnd"/>
      <w:r w:rsidRPr="00367B3C">
        <w:rPr>
          <w:color w:val="202122"/>
          <w:sz w:val="22"/>
          <w:szCs w:val="22"/>
          <w:shd w:val="clear" w:color="auto" w:fill="FFFFFF"/>
          <w:lang w:val="en-GB"/>
        </w:rPr>
        <w:t>, Washington.</w:t>
      </w:r>
    </w:p>
    <w:p w:rsidR="005457F1" w:rsidRPr="00367B3C" w:rsidRDefault="00626C70" w:rsidP="005457F1">
      <w:pPr>
        <w:ind w:left="284" w:hanging="284"/>
        <w:jc w:val="both"/>
        <w:rPr>
          <w:sz w:val="22"/>
          <w:szCs w:val="22"/>
        </w:rPr>
      </w:pPr>
      <w:hyperlink r:id="rId15" w:history="1">
        <w:proofErr w:type="spellStart"/>
        <w:r w:rsidR="005457F1" w:rsidRPr="00367B3C">
          <w:rPr>
            <w:sz w:val="22"/>
            <w:szCs w:val="22"/>
            <w:lang w:val="en-GB"/>
          </w:rPr>
          <w:t>Szreter</w:t>
        </w:r>
        <w:proofErr w:type="spellEnd"/>
      </w:hyperlink>
      <w:r w:rsidR="005457F1" w:rsidRPr="00367B3C">
        <w:rPr>
          <w:sz w:val="22"/>
          <w:szCs w:val="22"/>
          <w:lang w:val="en-GB"/>
        </w:rPr>
        <w:t xml:space="preserve"> S. (1996). </w:t>
      </w:r>
      <w:r w:rsidR="005457F1" w:rsidRPr="00367B3C">
        <w:rPr>
          <w:i/>
          <w:sz w:val="22"/>
          <w:szCs w:val="22"/>
          <w:lang w:val="en-GB"/>
        </w:rPr>
        <w:t>Fertility, Class and Gender in Britain, 1860-1940</w:t>
      </w:r>
      <w:r w:rsidR="005457F1" w:rsidRPr="00367B3C">
        <w:rPr>
          <w:sz w:val="22"/>
          <w:szCs w:val="22"/>
          <w:lang w:val="en-GB"/>
        </w:rPr>
        <w:t xml:space="preserve">. </w:t>
      </w:r>
      <w:hyperlink r:id="rId16" w:history="1">
        <w:r w:rsidR="005457F1" w:rsidRPr="00367B3C">
          <w:rPr>
            <w:sz w:val="22"/>
            <w:szCs w:val="22"/>
          </w:rPr>
          <w:t xml:space="preserve">Cambridge </w:t>
        </w:r>
        <w:proofErr w:type="spellStart"/>
        <w:r w:rsidR="005457F1" w:rsidRPr="00367B3C">
          <w:rPr>
            <w:sz w:val="22"/>
            <w:szCs w:val="22"/>
          </w:rPr>
          <w:t>University</w:t>
        </w:r>
        <w:proofErr w:type="spellEnd"/>
        <w:r w:rsidR="005457F1" w:rsidRPr="00367B3C">
          <w:rPr>
            <w:sz w:val="22"/>
            <w:szCs w:val="22"/>
          </w:rPr>
          <w:t xml:space="preserve"> </w:t>
        </w:r>
        <w:proofErr w:type="spellStart"/>
        <w:r w:rsidR="005457F1" w:rsidRPr="00367B3C">
          <w:rPr>
            <w:sz w:val="22"/>
            <w:szCs w:val="22"/>
          </w:rPr>
          <w:t>Press</w:t>
        </w:r>
        <w:proofErr w:type="spellEnd"/>
      </w:hyperlink>
      <w:r w:rsidR="005457F1" w:rsidRPr="00367B3C">
        <w:rPr>
          <w:sz w:val="22"/>
          <w:szCs w:val="22"/>
        </w:rPr>
        <w:t xml:space="preserve">. </w:t>
      </w:r>
    </w:p>
    <w:p w:rsidR="005457F1" w:rsidRPr="00367B3C" w:rsidRDefault="005457F1" w:rsidP="005457F1">
      <w:pPr>
        <w:ind w:left="284" w:hanging="284"/>
        <w:jc w:val="both"/>
        <w:rPr>
          <w:color w:val="000000"/>
          <w:sz w:val="22"/>
          <w:szCs w:val="22"/>
        </w:rPr>
      </w:pPr>
      <w:r w:rsidRPr="00367B3C">
        <w:rPr>
          <w:sz w:val="22"/>
          <w:szCs w:val="22"/>
        </w:rPr>
        <w:t xml:space="preserve">Veblen. T. B. (1899). </w:t>
      </w:r>
      <w:r w:rsidRPr="00367B3C">
        <w:rPr>
          <w:i/>
          <w:sz w:val="22"/>
          <w:szCs w:val="22"/>
        </w:rPr>
        <w:t>T</w:t>
      </w:r>
      <w:r w:rsidRPr="00367B3C">
        <w:rPr>
          <w:i/>
          <w:color w:val="000000"/>
          <w:sz w:val="22"/>
          <w:szCs w:val="22"/>
        </w:rPr>
        <w:t>héorie de la classe de loisir</w:t>
      </w:r>
      <w:r w:rsidRPr="00367B3C">
        <w:rPr>
          <w:color w:val="000000"/>
          <w:sz w:val="22"/>
          <w:szCs w:val="22"/>
        </w:rPr>
        <w:t>. Gallimard. 1970.</w:t>
      </w:r>
    </w:p>
    <w:p w:rsidR="005457F1" w:rsidRPr="00367B3C" w:rsidRDefault="005457F1" w:rsidP="005457F1">
      <w:pPr>
        <w:ind w:left="284" w:hanging="284"/>
        <w:jc w:val="both"/>
        <w:rPr>
          <w:color w:val="202122"/>
          <w:sz w:val="22"/>
          <w:szCs w:val="22"/>
          <w:lang w:val="en-GB"/>
        </w:rPr>
      </w:pPr>
      <w:r w:rsidRPr="00367B3C">
        <w:rPr>
          <w:color w:val="0F1111"/>
          <w:sz w:val="22"/>
          <w:szCs w:val="22"/>
          <w:shd w:val="clear" w:color="auto" w:fill="FFFFFF"/>
        </w:rPr>
        <w:t>Weber M. (1921).</w:t>
      </w:r>
      <w:r w:rsidRPr="00367B3C">
        <w:rPr>
          <w:i/>
          <w:sz w:val="22"/>
          <w:szCs w:val="22"/>
        </w:rPr>
        <w:t xml:space="preserve"> Economie et société</w:t>
      </w:r>
      <w:r w:rsidRPr="00367B3C">
        <w:rPr>
          <w:color w:val="202122"/>
          <w:sz w:val="22"/>
          <w:szCs w:val="22"/>
        </w:rPr>
        <w:t xml:space="preserve">. </w:t>
      </w:r>
      <w:proofErr w:type="spellStart"/>
      <w:r w:rsidRPr="00367B3C">
        <w:rPr>
          <w:color w:val="202122"/>
          <w:sz w:val="22"/>
          <w:szCs w:val="22"/>
          <w:lang w:val="en-GB"/>
        </w:rPr>
        <w:t>Plon</w:t>
      </w:r>
      <w:proofErr w:type="spellEnd"/>
      <w:r w:rsidRPr="00367B3C">
        <w:rPr>
          <w:color w:val="202122"/>
          <w:sz w:val="22"/>
          <w:szCs w:val="22"/>
          <w:lang w:val="en-GB"/>
        </w:rPr>
        <w:t>, 1971 (2003).</w:t>
      </w:r>
    </w:p>
    <w:p w:rsidR="005457F1" w:rsidRPr="00367B3C" w:rsidRDefault="005457F1" w:rsidP="005457F1">
      <w:pPr>
        <w:ind w:left="284" w:hanging="284"/>
        <w:jc w:val="both"/>
        <w:rPr>
          <w:sz w:val="22"/>
          <w:szCs w:val="22"/>
          <w:shd w:val="clear" w:color="auto" w:fill="FFFFFF"/>
          <w:lang w:val="en-GB"/>
        </w:rPr>
      </w:pPr>
      <w:r w:rsidRPr="00367B3C">
        <w:rPr>
          <w:sz w:val="22"/>
          <w:szCs w:val="22"/>
          <w:shd w:val="clear" w:color="auto" w:fill="FFFFFF"/>
          <w:lang w:val="en-GB"/>
        </w:rPr>
        <w:t xml:space="preserve">World Bank. World Bank Enterprise Surveys. Data </w:t>
      </w:r>
      <w:proofErr w:type="spellStart"/>
      <w:r w:rsidRPr="00367B3C">
        <w:rPr>
          <w:sz w:val="22"/>
          <w:szCs w:val="22"/>
          <w:shd w:val="clear" w:color="auto" w:fill="FFFFFF"/>
          <w:lang w:val="en-GB"/>
        </w:rPr>
        <w:t>catalog</w:t>
      </w:r>
      <w:proofErr w:type="spellEnd"/>
      <w:r w:rsidRPr="00367B3C">
        <w:rPr>
          <w:sz w:val="22"/>
          <w:szCs w:val="22"/>
          <w:shd w:val="clear" w:color="auto" w:fill="FFFFFF"/>
          <w:lang w:val="en-GB"/>
        </w:rPr>
        <w:t>. Washington, The World Bank.</w:t>
      </w:r>
    </w:p>
    <w:p w:rsidR="005457F1" w:rsidRPr="00367B3C" w:rsidRDefault="005457F1" w:rsidP="005457F1">
      <w:pPr>
        <w:ind w:left="284" w:hanging="284"/>
        <w:jc w:val="both"/>
        <w:rPr>
          <w:color w:val="000000"/>
          <w:sz w:val="22"/>
          <w:szCs w:val="22"/>
          <w:lang w:val="en-GB"/>
        </w:rPr>
      </w:pPr>
      <w:r w:rsidRPr="00367B3C">
        <w:rPr>
          <w:sz w:val="22"/>
          <w:szCs w:val="22"/>
          <w:shd w:val="clear" w:color="auto" w:fill="FFFFFF"/>
          <w:lang w:val="en-GB"/>
        </w:rPr>
        <w:t xml:space="preserve">WVS Wave 7 (2017-2022). </w:t>
      </w:r>
      <w:r w:rsidRPr="00367B3C">
        <w:rPr>
          <w:rStyle w:val="Accentuation"/>
          <w:color w:val="000000"/>
          <w:sz w:val="22"/>
          <w:szCs w:val="22"/>
          <w:bdr w:val="none" w:sz="0" w:space="0" w:color="auto" w:frame="1"/>
          <w:lang w:val="en-GB"/>
        </w:rPr>
        <w:t>World Values Surveys</w:t>
      </w:r>
      <w:r w:rsidRPr="00367B3C">
        <w:rPr>
          <w:color w:val="000000"/>
          <w:sz w:val="22"/>
          <w:szCs w:val="22"/>
          <w:lang w:val="en-GB"/>
        </w:rPr>
        <w:t>. https://www.worldvaluessurvey.org</w:t>
      </w:r>
    </w:p>
    <w:p w:rsidR="005457F1" w:rsidRPr="0068068C" w:rsidRDefault="005457F1" w:rsidP="005457F1">
      <w:pPr>
        <w:spacing w:before="120" w:after="120"/>
        <w:jc w:val="both"/>
        <w:textAlignment w:val="top"/>
        <w:rPr>
          <w:b/>
          <w:color w:val="000000"/>
          <w:sz w:val="22"/>
          <w:szCs w:val="22"/>
        </w:rPr>
      </w:pPr>
      <w:r w:rsidRPr="0068068C">
        <w:rPr>
          <w:b/>
          <w:color w:val="000000"/>
          <w:sz w:val="22"/>
          <w:szCs w:val="22"/>
        </w:rPr>
        <w:t>Annexe</w:t>
      </w:r>
    </w:p>
    <w:p w:rsidR="005457F1" w:rsidRPr="00BF5F31" w:rsidRDefault="005457F1" w:rsidP="005457F1">
      <w:pPr>
        <w:shd w:val="clear" w:color="auto" w:fill="FFFFFF"/>
        <w:spacing w:after="120"/>
        <w:jc w:val="both"/>
        <w:rPr>
          <w:rStyle w:val="in-revue"/>
          <w:b/>
        </w:rPr>
      </w:pPr>
      <w:r>
        <w:rPr>
          <w:rStyle w:val="in-revue"/>
          <w:b/>
        </w:rPr>
        <w:t>L’a</w:t>
      </w:r>
      <w:r w:rsidRPr="00BF5F31">
        <w:rPr>
          <w:rStyle w:val="in-revue"/>
          <w:b/>
        </w:rPr>
        <w:t>ppartenance à une classe sociale</w:t>
      </w:r>
      <w:r>
        <w:rPr>
          <w:rStyle w:val="in-revue"/>
          <w:b/>
        </w:rPr>
        <w:t> : une évaluation subjective</w:t>
      </w:r>
    </w:p>
    <w:p w:rsidR="005457F1" w:rsidRPr="008213CF" w:rsidRDefault="005457F1" w:rsidP="005457F1">
      <w:pPr>
        <w:shd w:val="clear" w:color="auto" w:fill="FFFFFF"/>
        <w:jc w:val="both"/>
        <w:rPr>
          <w:rStyle w:val="in-revue"/>
          <w:sz w:val="20"/>
          <w:szCs w:val="20"/>
        </w:rPr>
      </w:pPr>
      <w:r w:rsidRPr="008213CF">
        <w:rPr>
          <w:rStyle w:val="in-revue"/>
          <w:sz w:val="20"/>
          <w:szCs w:val="20"/>
        </w:rPr>
        <w:t>Q 287.</w:t>
      </w:r>
      <w:r w:rsidRPr="008213CF">
        <w:rPr>
          <w:sz w:val="20"/>
          <w:szCs w:val="20"/>
        </w:rPr>
        <w:t xml:space="preserve"> </w:t>
      </w:r>
      <w:r w:rsidRPr="008213CF">
        <w:rPr>
          <w:rStyle w:val="in-revue"/>
          <w:sz w:val="20"/>
          <w:szCs w:val="20"/>
        </w:rPr>
        <w:t>Les gens se décrivent parfois comme appartenant à la classe ouvrière, à la classe moyenne ou à la classe supérieure ou inférieure. Vous décririez-vous comme appartenant à l’une de ces classes ?</w:t>
      </w:r>
    </w:p>
    <w:p w:rsidR="005457F1" w:rsidRPr="008213CF" w:rsidRDefault="005457F1" w:rsidP="005457F1">
      <w:pPr>
        <w:shd w:val="clear" w:color="auto" w:fill="FFFFFF"/>
        <w:jc w:val="both"/>
        <w:rPr>
          <w:sz w:val="20"/>
          <w:szCs w:val="20"/>
        </w:rPr>
      </w:pPr>
      <w:r w:rsidRPr="008213CF">
        <w:rPr>
          <w:sz w:val="20"/>
          <w:szCs w:val="20"/>
        </w:rPr>
        <w:t xml:space="preserve">Egypte </w:t>
      </w:r>
      <w:r w:rsidRPr="008213CF">
        <w:rPr>
          <w:rStyle w:val="in-revue"/>
          <w:sz w:val="20"/>
          <w:szCs w:val="20"/>
        </w:rPr>
        <w:t>(2018): classe moyenne</w:t>
      </w:r>
      <w:r w:rsidRPr="008213CF">
        <w:rPr>
          <w:sz w:val="20"/>
          <w:szCs w:val="20"/>
        </w:rPr>
        <w:t xml:space="preserve"> supérieure (9,1%) ; </w:t>
      </w:r>
      <w:r w:rsidRPr="008213CF">
        <w:rPr>
          <w:rStyle w:val="in-revue"/>
          <w:sz w:val="20"/>
          <w:szCs w:val="20"/>
        </w:rPr>
        <w:t>classe moyenne</w:t>
      </w:r>
      <w:r w:rsidRPr="008213CF">
        <w:rPr>
          <w:sz w:val="20"/>
          <w:szCs w:val="20"/>
        </w:rPr>
        <w:t xml:space="preserve"> inférieure (40,1%).</w:t>
      </w:r>
    </w:p>
    <w:p w:rsidR="005457F1" w:rsidRPr="008213CF" w:rsidRDefault="005457F1" w:rsidP="005457F1">
      <w:pPr>
        <w:shd w:val="clear" w:color="auto" w:fill="FFFFFF"/>
        <w:jc w:val="both"/>
        <w:rPr>
          <w:sz w:val="20"/>
          <w:szCs w:val="20"/>
        </w:rPr>
      </w:pPr>
      <w:r w:rsidRPr="008213CF">
        <w:rPr>
          <w:rStyle w:val="in-revue"/>
          <w:sz w:val="20"/>
          <w:szCs w:val="20"/>
        </w:rPr>
        <w:t>Jordanie</w:t>
      </w:r>
      <w:r w:rsidRPr="008213CF">
        <w:rPr>
          <w:sz w:val="20"/>
          <w:szCs w:val="20"/>
        </w:rPr>
        <w:t xml:space="preserve"> </w:t>
      </w:r>
      <w:r w:rsidRPr="008213CF">
        <w:rPr>
          <w:rStyle w:val="in-revue"/>
          <w:sz w:val="20"/>
          <w:szCs w:val="20"/>
        </w:rPr>
        <w:t>(2018): classe moyenne</w:t>
      </w:r>
      <w:r w:rsidRPr="008213CF">
        <w:rPr>
          <w:sz w:val="20"/>
          <w:szCs w:val="20"/>
        </w:rPr>
        <w:t xml:space="preserve"> supérieure (12,8%) ; </w:t>
      </w:r>
      <w:r w:rsidRPr="008213CF">
        <w:rPr>
          <w:rStyle w:val="in-revue"/>
          <w:sz w:val="20"/>
          <w:szCs w:val="20"/>
        </w:rPr>
        <w:t>classe moyenne</w:t>
      </w:r>
      <w:r w:rsidRPr="008213CF">
        <w:rPr>
          <w:sz w:val="20"/>
          <w:szCs w:val="20"/>
        </w:rPr>
        <w:t xml:space="preserve"> inférieure (39,6%).</w:t>
      </w:r>
    </w:p>
    <w:p w:rsidR="005457F1" w:rsidRPr="008213CF" w:rsidRDefault="005457F1" w:rsidP="005457F1">
      <w:pPr>
        <w:shd w:val="clear" w:color="auto" w:fill="FFFFFF"/>
        <w:jc w:val="both"/>
        <w:rPr>
          <w:sz w:val="20"/>
          <w:szCs w:val="20"/>
        </w:rPr>
      </w:pPr>
      <w:r w:rsidRPr="008213CF">
        <w:rPr>
          <w:rStyle w:val="in-revue"/>
          <w:sz w:val="20"/>
          <w:szCs w:val="20"/>
        </w:rPr>
        <w:t>Liban (2018): classe moyenne</w:t>
      </w:r>
      <w:r w:rsidRPr="008213CF">
        <w:rPr>
          <w:sz w:val="20"/>
          <w:szCs w:val="20"/>
        </w:rPr>
        <w:t xml:space="preserve"> supérieure (29,7%) ; </w:t>
      </w:r>
      <w:r w:rsidRPr="008213CF">
        <w:rPr>
          <w:rStyle w:val="in-revue"/>
          <w:sz w:val="20"/>
          <w:szCs w:val="20"/>
        </w:rPr>
        <w:t>classe moyenne</w:t>
      </w:r>
      <w:r w:rsidRPr="008213CF">
        <w:rPr>
          <w:sz w:val="20"/>
          <w:szCs w:val="20"/>
        </w:rPr>
        <w:t xml:space="preserve"> inférieure (42,6%).</w:t>
      </w:r>
    </w:p>
    <w:p w:rsidR="005457F1" w:rsidRPr="008213CF" w:rsidRDefault="005457F1" w:rsidP="005457F1">
      <w:pPr>
        <w:shd w:val="clear" w:color="auto" w:fill="FFFFFF"/>
        <w:jc w:val="both"/>
        <w:rPr>
          <w:rStyle w:val="in-revue"/>
          <w:sz w:val="20"/>
          <w:szCs w:val="20"/>
        </w:rPr>
      </w:pPr>
      <w:r w:rsidRPr="008213CF">
        <w:rPr>
          <w:rStyle w:val="in-revue"/>
          <w:sz w:val="20"/>
          <w:szCs w:val="20"/>
        </w:rPr>
        <w:t>Tunisie (2019): classe moyenne</w:t>
      </w:r>
      <w:r w:rsidRPr="008213CF">
        <w:rPr>
          <w:sz w:val="20"/>
          <w:szCs w:val="20"/>
        </w:rPr>
        <w:t xml:space="preserve"> supérieure (22,4%) ; </w:t>
      </w:r>
      <w:r w:rsidRPr="008213CF">
        <w:rPr>
          <w:rStyle w:val="in-revue"/>
          <w:sz w:val="20"/>
          <w:szCs w:val="20"/>
        </w:rPr>
        <w:t>classe moyenne</w:t>
      </w:r>
      <w:r w:rsidRPr="008213CF">
        <w:rPr>
          <w:sz w:val="20"/>
          <w:szCs w:val="20"/>
        </w:rPr>
        <w:t xml:space="preserve"> inférieure (42,2%).</w:t>
      </w:r>
    </w:p>
    <w:p w:rsidR="005457F1" w:rsidRPr="008213CF" w:rsidRDefault="005457F1" w:rsidP="005457F1">
      <w:pPr>
        <w:shd w:val="clear" w:color="auto" w:fill="FFFFFF"/>
        <w:jc w:val="both"/>
        <w:rPr>
          <w:sz w:val="20"/>
          <w:szCs w:val="20"/>
        </w:rPr>
      </w:pPr>
      <w:r w:rsidRPr="008213CF">
        <w:rPr>
          <w:rStyle w:val="in-revue"/>
          <w:sz w:val="20"/>
          <w:szCs w:val="20"/>
        </w:rPr>
        <w:t>Maroc (2021): classe moyenne</w:t>
      </w:r>
      <w:r w:rsidRPr="008213CF">
        <w:rPr>
          <w:sz w:val="20"/>
          <w:szCs w:val="20"/>
        </w:rPr>
        <w:t xml:space="preserve"> supérieure (21,5%) ; </w:t>
      </w:r>
      <w:r w:rsidRPr="008213CF">
        <w:rPr>
          <w:rStyle w:val="in-revue"/>
          <w:sz w:val="20"/>
          <w:szCs w:val="20"/>
        </w:rPr>
        <w:t>classe moyenne</w:t>
      </w:r>
      <w:r w:rsidRPr="008213CF">
        <w:rPr>
          <w:sz w:val="20"/>
          <w:szCs w:val="20"/>
        </w:rPr>
        <w:t xml:space="preserve"> inférieure (48,2%).</w:t>
      </w:r>
    </w:p>
    <w:p w:rsidR="005457F1" w:rsidRPr="002E640D" w:rsidRDefault="005457F1" w:rsidP="005457F1">
      <w:pPr>
        <w:jc w:val="both"/>
        <w:rPr>
          <w:color w:val="000000"/>
          <w:sz w:val="20"/>
          <w:szCs w:val="20"/>
        </w:rPr>
      </w:pPr>
      <w:r w:rsidRPr="00607F70">
        <w:rPr>
          <w:i/>
          <w:sz w:val="20"/>
          <w:szCs w:val="20"/>
          <w:shd w:val="clear" w:color="auto" w:fill="FFFFFF"/>
        </w:rPr>
        <w:t>Source</w:t>
      </w:r>
      <w:r w:rsidRPr="002E640D">
        <w:rPr>
          <w:sz w:val="20"/>
          <w:szCs w:val="20"/>
          <w:shd w:val="clear" w:color="auto" w:fill="FFFFFF"/>
        </w:rPr>
        <w:t xml:space="preserve">: WVS </w:t>
      </w:r>
      <w:proofErr w:type="spellStart"/>
      <w:r w:rsidRPr="002E640D">
        <w:rPr>
          <w:sz w:val="20"/>
          <w:szCs w:val="20"/>
          <w:shd w:val="clear" w:color="auto" w:fill="FFFFFF"/>
        </w:rPr>
        <w:t>Wave</w:t>
      </w:r>
      <w:proofErr w:type="spellEnd"/>
      <w:r w:rsidRPr="002E640D">
        <w:rPr>
          <w:sz w:val="20"/>
          <w:szCs w:val="20"/>
          <w:shd w:val="clear" w:color="auto" w:fill="FFFFFF"/>
        </w:rPr>
        <w:t xml:space="preserve"> 7 (2017-2022). </w:t>
      </w:r>
    </w:p>
    <w:p w:rsidR="005457F1" w:rsidRPr="0068068C" w:rsidRDefault="005457F1" w:rsidP="005457F1">
      <w:pPr>
        <w:spacing w:before="120" w:after="120"/>
        <w:jc w:val="both"/>
        <w:textAlignment w:val="top"/>
        <w:rPr>
          <w:b/>
          <w:color w:val="000000"/>
          <w:sz w:val="22"/>
          <w:szCs w:val="22"/>
        </w:rPr>
      </w:pPr>
      <w:r w:rsidRPr="0068068C">
        <w:rPr>
          <w:b/>
          <w:color w:val="000000"/>
          <w:sz w:val="22"/>
          <w:szCs w:val="22"/>
        </w:rPr>
        <w:t xml:space="preserve">Thèmes </w:t>
      </w:r>
      <w:r w:rsidRPr="0068068C">
        <w:rPr>
          <w:color w:val="000000"/>
          <w:sz w:val="22"/>
          <w:szCs w:val="22"/>
        </w:rPr>
        <w:t>(liste indicative non limitative)</w:t>
      </w:r>
    </w:p>
    <w:p w:rsidR="005457F1" w:rsidRPr="0068068C" w:rsidRDefault="005457F1" w:rsidP="005457F1">
      <w:pPr>
        <w:spacing w:after="120"/>
        <w:jc w:val="both"/>
        <w:textAlignment w:val="top"/>
        <w:rPr>
          <w:color w:val="000000"/>
          <w:sz w:val="22"/>
          <w:szCs w:val="22"/>
        </w:rPr>
      </w:pPr>
      <w:r w:rsidRPr="0068068C">
        <w:rPr>
          <w:color w:val="000000"/>
          <w:sz w:val="22"/>
          <w:szCs w:val="22"/>
        </w:rPr>
        <w:t>Classer, mesurer, expliquer les classes moyennes et leurs composantes. L’approche politiste à l’échelle d’un pays du Maghreb et /ou du Machrek.</w:t>
      </w:r>
    </w:p>
    <w:p w:rsidR="005457F1" w:rsidRPr="0068068C" w:rsidRDefault="005457F1" w:rsidP="005457F1">
      <w:pPr>
        <w:spacing w:after="120"/>
        <w:jc w:val="both"/>
        <w:textAlignment w:val="top"/>
        <w:rPr>
          <w:color w:val="000000"/>
          <w:sz w:val="22"/>
          <w:szCs w:val="22"/>
        </w:rPr>
      </w:pPr>
      <w:r w:rsidRPr="0068068C">
        <w:rPr>
          <w:color w:val="000000"/>
          <w:sz w:val="22"/>
          <w:szCs w:val="22"/>
        </w:rPr>
        <w:t>Classer, mesurer, expliquer les classes moyennes et leurs composantes. L’approche sociologique à l’échelle d’un pays du Maghreb et /ou du Machrek.</w:t>
      </w:r>
    </w:p>
    <w:p w:rsidR="005457F1" w:rsidRPr="0068068C" w:rsidRDefault="005457F1" w:rsidP="005457F1">
      <w:pPr>
        <w:spacing w:after="120"/>
        <w:jc w:val="both"/>
        <w:textAlignment w:val="top"/>
        <w:rPr>
          <w:color w:val="000000"/>
          <w:sz w:val="22"/>
          <w:szCs w:val="22"/>
        </w:rPr>
      </w:pPr>
      <w:r w:rsidRPr="0068068C">
        <w:rPr>
          <w:color w:val="000000"/>
          <w:sz w:val="22"/>
          <w:szCs w:val="22"/>
        </w:rPr>
        <w:t>Classer, mesurer, expliquer les classes moyennes et leurs composantes. L’approche économique à l’échelle d’un pays du Maghreb et /ou du Machrek.</w:t>
      </w:r>
    </w:p>
    <w:p w:rsidR="005457F1" w:rsidRPr="0068068C" w:rsidRDefault="005457F1" w:rsidP="005457F1">
      <w:pPr>
        <w:spacing w:after="120"/>
        <w:jc w:val="both"/>
        <w:textAlignment w:val="top"/>
        <w:rPr>
          <w:color w:val="000000"/>
          <w:sz w:val="22"/>
          <w:szCs w:val="22"/>
        </w:rPr>
      </w:pPr>
      <w:r w:rsidRPr="0068068C">
        <w:rPr>
          <w:color w:val="000000"/>
          <w:sz w:val="22"/>
          <w:szCs w:val="22"/>
        </w:rPr>
        <w:t>L’émigration constitue-t-elle une fuite des cerveaux qui tend à rétrécir les classes moyennes : une comparaison à l’échelle du Maghreb et /ou du Machrek ?</w:t>
      </w:r>
    </w:p>
    <w:p w:rsidR="005457F1" w:rsidRPr="0068068C" w:rsidRDefault="005457F1" w:rsidP="005457F1">
      <w:pPr>
        <w:spacing w:after="120"/>
        <w:jc w:val="both"/>
        <w:textAlignment w:val="top"/>
        <w:rPr>
          <w:color w:val="000000"/>
          <w:sz w:val="22"/>
          <w:szCs w:val="22"/>
        </w:rPr>
      </w:pPr>
      <w:r w:rsidRPr="0068068C">
        <w:rPr>
          <w:color w:val="000000"/>
          <w:sz w:val="22"/>
          <w:szCs w:val="22"/>
        </w:rPr>
        <w:t>Y a-t-il encore une expansion du secteur public qui stimule l’essor des classes moyennes ? Analyse comparative des tendances à l’échelle du Maghreb et /ou du Machrek.</w:t>
      </w:r>
    </w:p>
    <w:p w:rsidR="005457F1" w:rsidRPr="0068068C" w:rsidRDefault="005457F1" w:rsidP="005457F1">
      <w:pPr>
        <w:spacing w:after="120"/>
        <w:jc w:val="both"/>
        <w:textAlignment w:val="top"/>
        <w:rPr>
          <w:color w:val="000000"/>
          <w:sz w:val="22"/>
          <w:szCs w:val="22"/>
        </w:rPr>
      </w:pPr>
      <w:r w:rsidRPr="0068068C">
        <w:rPr>
          <w:color w:val="000000"/>
          <w:sz w:val="22"/>
          <w:szCs w:val="22"/>
        </w:rPr>
        <w:t xml:space="preserve">Dans le contexte du retour d’une forte inflation, le modèle familial à un seul apporteur, généralement le père, est-il soutenable pour maintenir la place des classes moyennes ? </w:t>
      </w:r>
    </w:p>
    <w:p w:rsidR="005457F1" w:rsidRDefault="005457F1" w:rsidP="005457F1">
      <w:pPr>
        <w:spacing w:after="120"/>
        <w:jc w:val="both"/>
        <w:textAlignment w:val="top"/>
        <w:rPr>
          <w:color w:val="000000"/>
          <w:sz w:val="22"/>
          <w:szCs w:val="22"/>
        </w:rPr>
      </w:pPr>
      <w:r w:rsidRPr="0068068C">
        <w:rPr>
          <w:color w:val="000000"/>
          <w:sz w:val="22"/>
          <w:szCs w:val="22"/>
        </w:rPr>
        <w:t>L’éducation est-elle le déterminant essentiel de la croissance des classe moyennes, pour les hommes comme pour les femmes en activité ? Quel est le lien entre éducation et accès à l’emploi ? Quel est le rôle des normes familiales à cet égard ?</w:t>
      </w:r>
    </w:p>
    <w:p w:rsidR="005457F1" w:rsidRDefault="005457F1" w:rsidP="005457F1">
      <w:pPr>
        <w:spacing w:after="160" w:line="259" w:lineRule="auto"/>
        <w:rPr>
          <w:color w:val="000000"/>
          <w:sz w:val="22"/>
          <w:szCs w:val="22"/>
        </w:rPr>
      </w:pPr>
      <w:r>
        <w:rPr>
          <w:color w:val="000000"/>
          <w:sz w:val="22"/>
          <w:szCs w:val="22"/>
        </w:rPr>
        <w:br w:type="page"/>
      </w:r>
    </w:p>
    <w:p w:rsidR="005457F1" w:rsidRPr="0068068C" w:rsidRDefault="005457F1" w:rsidP="005457F1">
      <w:pPr>
        <w:spacing w:after="120"/>
        <w:jc w:val="both"/>
        <w:textAlignment w:val="top"/>
        <w:rPr>
          <w:b/>
          <w:color w:val="000000"/>
          <w:sz w:val="22"/>
          <w:szCs w:val="22"/>
        </w:rPr>
      </w:pPr>
      <w:r w:rsidRPr="0068068C">
        <w:rPr>
          <w:b/>
          <w:color w:val="000000"/>
          <w:sz w:val="22"/>
          <w:szCs w:val="22"/>
        </w:rPr>
        <w:lastRenderedPageBreak/>
        <w:t>Proposition</w:t>
      </w:r>
      <w:r w:rsidRPr="0068068C">
        <w:rPr>
          <w:color w:val="000000"/>
          <w:sz w:val="22"/>
          <w:szCs w:val="22"/>
        </w:rPr>
        <w:t xml:space="preserve"> </w:t>
      </w:r>
      <w:r w:rsidRPr="0068068C">
        <w:rPr>
          <w:b/>
          <w:color w:val="000000"/>
          <w:sz w:val="22"/>
          <w:szCs w:val="22"/>
        </w:rPr>
        <w:t>d’article</w:t>
      </w:r>
    </w:p>
    <w:p w:rsidR="005457F1" w:rsidRPr="0068068C" w:rsidRDefault="005457F1" w:rsidP="005457F1">
      <w:pPr>
        <w:spacing w:after="120"/>
        <w:jc w:val="both"/>
        <w:textAlignment w:val="top"/>
        <w:rPr>
          <w:color w:val="000000"/>
          <w:sz w:val="22"/>
          <w:szCs w:val="22"/>
        </w:rPr>
      </w:pPr>
      <w:r w:rsidRPr="0068068C">
        <w:rPr>
          <w:color w:val="000000"/>
          <w:sz w:val="22"/>
          <w:szCs w:val="22"/>
        </w:rPr>
        <w:t>Elle doit comprendre deux pages (1000 mots) présentant la question de recherche, les sources</w:t>
      </w:r>
      <w:r>
        <w:rPr>
          <w:color w:val="000000"/>
          <w:sz w:val="22"/>
          <w:szCs w:val="22"/>
        </w:rPr>
        <w:t xml:space="preserve"> </w:t>
      </w:r>
      <w:r w:rsidRPr="0068068C">
        <w:rPr>
          <w:color w:val="000000"/>
          <w:sz w:val="22"/>
          <w:szCs w:val="22"/>
        </w:rPr>
        <w:t xml:space="preserve">et la méthodologie mobilisées, les résultats escomptés et une bibliographie sélective de moins de 10 titres. </w:t>
      </w:r>
    </w:p>
    <w:p w:rsidR="005457F1" w:rsidRPr="0068068C" w:rsidRDefault="005457F1" w:rsidP="005457F1">
      <w:pPr>
        <w:spacing w:after="120"/>
        <w:jc w:val="both"/>
        <w:textAlignment w:val="top"/>
        <w:rPr>
          <w:color w:val="000000"/>
          <w:sz w:val="22"/>
          <w:szCs w:val="22"/>
        </w:rPr>
      </w:pPr>
      <w:r w:rsidRPr="0068068C">
        <w:rPr>
          <w:color w:val="000000"/>
          <w:sz w:val="22"/>
          <w:szCs w:val="22"/>
        </w:rPr>
        <w:t xml:space="preserve">Envoyer à Philippe Adair </w:t>
      </w:r>
      <w:hyperlink r:id="rId17" w:history="1">
        <w:r w:rsidRPr="0068068C">
          <w:rPr>
            <w:rStyle w:val="Lienhypertexte"/>
            <w:sz w:val="22"/>
            <w:szCs w:val="22"/>
          </w:rPr>
          <w:t>adair@u-pec.fr</w:t>
        </w:r>
      </w:hyperlink>
    </w:p>
    <w:p w:rsidR="005457F1" w:rsidRPr="0068068C" w:rsidRDefault="005457F1" w:rsidP="005457F1">
      <w:pPr>
        <w:spacing w:after="120"/>
        <w:jc w:val="both"/>
        <w:textAlignment w:val="top"/>
        <w:rPr>
          <w:b/>
          <w:color w:val="000000"/>
          <w:sz w:val="22"/>
          <w:szCs w:val="22"/>
        </w:rPr>
      </w:pPr>
      <w:r w:rsidRPr="0068068C">
        <w:rPr>
          <w:b/>
          <w:color w:val="000000"/>
          <w:sz w:val="22"/>
          <w:szCs w:val="22"/>
        </w:rPr>
        <w:t>Dates-clés</w:t>
      </w:r>
    </w:p>
    <w:p w:rsidR="005457F1" w:rsidRPr="0068068C" w:rsidRDefault="005457F1" w:rsidP="005457F1">
      <w:pPr>
        <w:spacing w:after="120"/>
        <w:jc w:val="both"/>
        <w:textAlignment w:val="top"/>
        <w:rPr>
          <w:color w:val="000000"/>
          <w:sz w:val="22"/>
          <w:szCs w:val="22"/>
        </w:rPr>
      </w:pPr>
      <w:r w:rsidRPr="0068068C">
        <w:rPr>
          <w:color w:val="000000"/>
          <w:sz w:val="22"/>
          <w:szCs w:val="22"/>
        </w:rPr>
        <w:t xml:space="preserve">Réception des propositions d’articles : </w:t>
      </w:r>
      <w:r w:rsidRPr="00EF3893">
        <w:rPr>
          <w:b/>
          <w:color w:val="000000"/>
          <w:sz w:val="22"/>
          <w:szCs w:val="22"/>
        </w:rPr>
        <w:t>15 mars</w:t>
      </w:r>
      <w:r w:rsidRPr="0068068C">
        <w:rPr>
          <w:color w:val="000000"/>
          <w:sz w:val="22"/>
          <w:szCs w:val="22"/>
        </w:rPr>
        <w:t xml:space="preserve"> 2023 </w:t>
      </w:r>
    </w:p>
    <w:p w:rsidR="005457F1" w:rsidRPr="0068068C" w:rsidRDefault="005457F1" w:rsidP="005457F1">
      <w:pPr>
        <w:spacing w:after="120"/>
        <w:jc w:val="both"/>
        <w:textAlignment w:val="top"/>
        <w:rPr>
          <w:color w:val="000000"/>
          <w:sz w:val="22"/>
          <w:szCs w:val="22"/>
        </w:rPr>
      </w:pPr>
      <w:r w:rsidRPr="0068068C">
        <w:rPr>
          <w:color w:val="000000"/>
          <w:sz w:val="22"/>
          <w:szCs w:val="22"/>
        </w:rPr>
        <w:t xml:space="preserve">Evaluation transmise par le comité scientifique : </w:t>
      </w:r>
      <w:r w:rsidRPr="00EF3893">
        <w:rPr>
          <w:b/>
          <w:color w:val="000000"/>
          <w:sz w:val="22"/>
          <w:szCs w:val="22"/>
        </w:rPr>
        <w:t>30 mars</w:t>
      </w:r>
      <w:r w:rsidRPr="0068068C">
        <w:rPr>
          <w:color w:val="000000"/>
          <w:sz w:val="22"/>
          <w:szCs w:val="22"/>
        </w:rPr>
        <w:t xml:space="preserve"> 2023</w:t>
      </w:r>
    </w:p>
    <w:p w:rsidR="005457F1" w:rsidRDefault="005457F1" w:rsidP="005457F1">
      <w:pPr>
        <w:spacing w:after="120"/>
        <w:jc w:val="both"/>
        <w:textAlignment w:val="top"/>
        <w:rPr>
          <w:color w:val="000000"/>
          <w:sz w:val="22"/>
          <w:szCs w:val="22"/>
        </w:rPr>
      </w:pPr>
      <w:r w:rsidRPr="0068068C">
        <w:rPr>
          <w:color w:val="000000"/>
          <w:sz w:val="22"/>
          <w:szCs w:val="22"/>
        </w:rPr>
        <w:t xml:space="preserve">Inscription gratuite et obligatoire au workshop sur le site web: </w:t>
      </w:r>
      <w:r w:rsidRPr="00EF3893">
        <w:rPr>
          <w:b/>
          <w:color w:val="000000"/>
          <w:sz w:val="22"/>
          <w:szCs w:val="22"/>
        </w:rPr>
        <w:t>10 avril</w:t>
      </w:r>
      <w:r w:rsidRPr="0068068C">
        <w:rPr>
          <w:color w:val="000000"/>
          <w:sz w:val="22"/>
          <w:szCs w:val="22"/>
        </w:rPr>
        <w:t xml:space="preserve"> 2023</w:t>
      </w:r>
    </w:p>
    <w:p w:rsidR="00D22D42" w:rsidRPr="00D22D42" w:rsidRDefault="00D22D42" w:rsidP="005457F1">
      <w:pPr>
        <w:spacing w:after="120"/>
        <w:jc w:val="both"/>
        <w:textAlignment w:val="top"/>
        <w:rPr>
          <w:color w:val="000000"/>
          <w:sz w:val="22"/>
          <w:szCs w:val="22"/>
        </w:rPr>
      </w:pPr>
      <w:hyperlink r:id="rId18" w:tgtFrame="_blank" w:history="1">
        <w:r w:rsidRPr="00D22D42">
          <w:rPr>
            <w:rStyle w:val="Lienhypertexte"/>
            <w:color w:val="55516F"/>
            <w:sz w:val="22"/>
            <w:szCs w:val="22"/>
            <w:shd w:val="clear" w:color="auto" w:fill="FDFDFD"/>
          </w:rPr>
          <w:t>https://creg.univ-grenoble-alpes.fr/actualites/worshop-middle-classes-mena</w:t>
        </w:r>
      </w:hyperlink>
    </w:p>
    <w:p w:rsidR="005457F1" w:rsidRPr="0068068C" w:rsidRDefault="005457F1" w:rsidP="005457F1">
      <w:pPr>
        <w:spacing w:after="120"/>
        <w:jc w:val="both"/>
        <w:textAlignment w:val="top"/>
        <w:rPr>
          <w:color w:val="000000"/>
          <w:sz w:val="22"/>
          <w:szCs w:val="22"/>
        </w:rPr>
      </w:pPr>
      <w:r w:rsidRPr="0068068C">
        <w:rPr>
          <w:color w:val="000000"/>
          <w:sz w:val="22"/>
          <w:szCs w:val="22"/>
        </w:rPr>
        <w:t xml:space="preserve">Réception des textes complets : </w:t>
      </w:r>
      <w:r w:rsidRPr="00EF3893">
        <w:rPr>
          <w:b/>
          <w:color w:val="000000"/>
          <w:sz w:val="22"/>
          <w:szCs w:val="22"/>
        </w:rPr>
        <w:t>1</w:t>
      </w:r>
      <w:r w:rsidR="00EF3893">
        <w:rPr>
          <w:b/>
          <w:color w:val="000000"/>
          <w:sz w:val="22"/>
          <w:szCs w:val="22"/>
        </w:rPr>
        <w:t>3</w:t>
      </w:r>
      <w:r w:rsidRPr="00EF3893">
        <w:rPr>
          <w:b/>
          <w:color w:val="000000"/>
          <w:sz w:val="22"/>
          <w:szCs w:val="22"/>
        </w:rPr>
        <w:t xml:space="preserve"> mai</w:t>
      </w:r>
      <w:r w:rsidRPr="0068068C">
        <w:rPr>
          <w:color w:val="000000"/>
          <w:sz w:val="22"/>
          <w:szCs w:val="22"/>
        </w:rPr>
        <w:t xml:space="preserve"> 2023</w:t>
      </w:r>
    </w:p>
    <w:p w:rsidR="005457F1" w:rsidRPr="0068068C" w:rsidRDefault="005457F1" w:rsidP="005457F1">
      <w:pPr>
        <w:spacing w:after="120"/>
        <w:jc w:val="both"/>
        <w:textAlignment w:val="top"/>
        <w:rPr>
          <w:color w:val="000000"/>
          <w:sz w:val="22"/>
          <w:szCs w:val="22"/>
        </w:rPr>
      </w:pPr>
      <w:r w:rsidRPr="0068068C">
        <w:rPr>
          <w:color w:val="000000"/>
          <w:sz w:val="22"/>
          <w:szCs w:val="22"/>
        </w:rPr>
        <w:t xml:space="preserve">Le workshop a lieu, en présentiel et en vidéo-conférence le </w:t>
      </w:r>
      <w:r w:rsidR="00EF3893" w:rsidRPr="00EF3893">
        <w:rPr>
          <w:b/>
          <w:color w:val="000000"/>
          <w:sz w:val="22"/>
          <w:szCs w:val="22"/>
        </w:rPr>
        <w:t>26</w:t>
      </w:r>
      <w:r w:rsidRPr="00EF3893">
        <w:rPr>
          <w:b/>
          <w:color w:val="000000"/>
          <w:sz w:val="22"/>
          <w:szCs w:val="22"/>
        </w:rPr>
        <w:t xml:space="preserve"> mai</w:t>
      </w:r>
      <w:r w:rsidRPr="0068068C">
        <w:rPr>
          <w:color w:val="000000"/>
          <w:sz w:val="22"/>
          <w:szCs w:val="22"/>
        </w:rPr>
        <w:t xml:space="preserve"> à l’Université Grenoble-Alpes, </w:t>
      </w:r>
      <w:r w:rsidR="00313834">
        <w:rPr>
          <w:color w:val="000000"/>
          <w:sz w:val="22"/>
          <w:szCs w:val="22"/>
        </w:rPr>
        <w:t>antenne d</w:t>
      </w:r>
      <w:r w:rsidRPr="00A83F1F">
        <w:rPr>
          <w:color w:val="000000"/>
          <w:sz w:val="22"/>
          <w:szCs w:val="22"/>
        </w:rPr>
        <w:t>e Valence</w:t>
      </w:r>
      <w:r>
        <w:rPr>
          <w:color w:val="000000"/>
          <w:sz w:val="22"/>
          <w:szCs w:val="22"/>
        </w:rPr>
        <w:t>.</w:t>
      </w:r>
      <w:r w:rsidRPr="00A83F1F">
        <w:rPr>
          <w:color w:val="000000"/>
          <w:sz w:val="22"/>
          <w:szCs w:val="22"/>
        </w:rPr>
        <w:t xml:space="preserve"> </w:t>
      </w:r>
    </w:p>
    <w:p w:rsidR="005457F1" w:rsidRPr="0068068C" w:rsidRDefault="005457F1" w:rsidP="005457F1">
      <w:pPr>
        <w:pBdr>
          <w:top w:val="single" w:sz="4" w:space="1" w:color="auto"/>
          <w:left w:val="single" w:sz="4" w:space="4" w:color="auto"/>
          <w:bottom w:val="single" w:sz="4" w:space="1" w:color="auto"/>
          <w:right w:val="single" w:sz="4" w:space="4" w:color="auto"/>
        </w:pBdr>
        <w:jc w:val="both"/>
        <w:rPr>
          <w:color w:val="000000"/>
          <w:sz w:val="22"/>
          <w:szCs w:val="22"/>
        </w:rPr>
      </w:pPr>
      <w:r w:rsidRPr="0068068C">
        <w:rPr>
          <w:color w:val="000000"/>
          <w:sz w:val="22"/>
          <w:szCs w:val="22"/>
          <w:u w:val="single"/>
        </w:rPr>
        <w:t>Comité d’organisation</w:t>
      </w:r>
      <w:r w:rsidRPr="0068068C">
        <w:rPr>
          <w:color w:val="000000"/>
          <w:sz w:val="22"/>
          <w:szCs w:val="22"/>
        </w:rPr>
        <w:t xml:space="preserve">: Céline BONNEFOND, </w:t>
      </w:r>
      <w:proofErr w:type="spellStart"/>
      <w:r w:rsidRPr="0068068C">
        <w:rPr>
          <w:color w:val="000000"/>
          <w:sz w:val="22"/>
          <w:szCs w:val="22"/>
        </w:rPr>
        <w:t>Tsiry</w:t>
      </w:r>
      <w:proofErr w:type="spellEnd"/>
      <w:r w:rsidRPr="0068068C">
        <w:rPr>
          <w:color w:val="000000"/>
          <w:sz w:val="22"/>
          <w:szCs w:val="22"/>
        </w:rPr>
        <w:t xml:space="preserve"> ANDRIANAMPIARIVO, Adrien FAUDOT, Donia DOWIDAR, </w:t>
      </w:r>
      <w:proofErr w:type="spellStart"/>
      <w:r w:rsidRPr="0068068C">
        <w:rPr>
          <w:color w:val="000000"/>
          <w:sz w:val="22"/>
          <w:szCs w:val="22"/>
        </w:rPr>
        <w:t>Doaa</w:t>
      </w:r>
      <w:proofErr w:type="spellEnd"/>
      <w:r w:rsidRPr="0068068C">
        <w:rPr>
          <w:color w:val="000000"/>
          <w:sz w:val="22"/>
          <w:szCs w:val="22"/>
        </w:rPr>
        <w:t xml:space="preserve"> EL GEBALY, Soukaina RAGBI.</w:t>
      </w:r>
    </w:p>
    <w:p w:rsidR="005457F1" w:rsidRPr="00A83F1F" w:rsidRDefault="005457F1" w:rsidP="005457F1">
      <w:pPr>
        <w:jc w:val="both"/>
        <w:textAlignment w:val="top"/>
        <w:rPr>
          <w:color w:val="000000"/>
          <w:sz w:val="16"/>
          <w:szCs w:val="16"/>
          <w:u w:val="single"/>
        </w:rPr>
      </w:pPr>
    </w:p>
    <w:p w:rsidR="005457F1" w:rsidRPr="00A83F1F" w:rsidRDefault="005457F1" w:rsidP="005457F1">
      <w:pPr>
        <w:pBdr>
          <w:top w:val="single" w:sz="4" w:space="1" w:color="auto"/>
          <w:left w:val="single" w:sz="4" w:space="4" w:color="auto"/>
          <w:bottom w:val="single" w:sz="4" w:space="1" w:color="auto"/>
          <w:right w:val="single" w:sz="4" w:space="4" w:color="auto"/>
        </w:pBdr>
        <w:spacing w:before="120" w:after="120"/>
        <w:jc w:val="both"/>
        <w:textAlignment w:val="top"/>
        <w:rPr>
          <w:sz w:val="22"/>
          <w:szCs w:val="22"/>
        </w:rPr>
      </w:pPr>
      <w:r w:rsidRPr="0068068C">
        <w:rPr>
          <w:color w:val="000000"/>
          <w:sz w:val="22"/>
          <w:szCs w:val="22"/>
          <w:u w:val="single"/>
        </w:rPr>
        <w:t>Co</w:t>
      </w:r>
      <w:r>
        <w:rPr>
          <w:color w:val="000000"/>
          <w:sz w:val="22"/>
          <w:szCs w:val="22"/>
          <w:u w:val="single"/>
        </w:rPr>
        <w:t>nseil</w:t>
      </w:r>
      <w:r w:rsidRPr="0068068C">
        <w:rPr>
          <w:color w:val="000000"/>
          <w:sz w:val="22"/>
          <w:szCs w:val="22"/>
          <w:u w:val="single"/>
        </w:rPr>
        <w:t xml:space="preserve"> scientifique</w:t>
      </w:r>
      <w:r w:rsidRPr="0068068C">
        <w:rPr>
          <w:color w:val="000000"/>
          <w:sz w:val="22"/>
          <w:szCs w:val="22"/>
        </w:rPr>
        <w:t xml:space="preserve"> : </w:t>
      </w:r>
      <w:r w:rsidR="00D80E4C" w:rsidRPr="00EF3893">
        <w:rPr>
          <w:color w:val="000000"/>
          <w:sz w:val="22"/>
          <w:szCs w:val="22"/>
        </w:rPr>
        <w:t>Ali Abdallah (</w:t>
      </w:r>
      <w:r w:rsidR="00EF3893" w:rsidRPr="00EF3893">
        <w:rPr>
          <w:color w:val="000000"/>
          <w:sz w:val="22"/>
          <w:szCs w:val="22"/>
        </w:rPr>
        <w:t>CERES, Tunis</w:t>
      </w:r>
      <w:r w:rsidR="00D80E4C" w:rsidRPr="00EF3893">
        <w:rPr>
          <w:color w:val="000000"/>
          <w:sz w:val="22"/>
          <w:szCs w:val="22"/>
        </w:rPr>
        <w:t>),</w:t>
      </w:r>
      <w:r w:rsidR="00D80E4C">
        <w:rPr>
          <w:color w:val="000000"/>
          <w:sz w:val="22"/>
          <w:szCs w:val="22"/>
        </w:rPr>
        <w:t xml:space="preserve"> </w:t>
      </w:r>
      <w:r w:rsidRPr="0068068C">
        <w:rPr>
          <w:color w:val="000000"/>
          <w:sz w:val="22"/>
          <w:szCs w:val="22"/>
        </w:rPr>
        <w:t>Philippe Adair (ERUDITE</w:t>
      </w:r>
      <w:r>
        <w:rPr>
          <w:color w:val="000000"/>
          <w:sz w:val="22"/>
          <w:szCs w:val="22"/>
        </w:rPr>
        <w:t>, Créteil</w:t>
      </w:r>
      <w:r w:rsidRPr="0068068C">
        <w:rPr>
          <w:color w:val="000000"/>
          <w:sz w:val="22"/>
          <w:szCs w:val="22"/>
        </w:rPr>
        <w:t xml:space="preserve">), </w:t>
      </w:r>
      <w:r w:rsidRPr="00A83F1F">
        <w:rPr>
          <w:sz w:val="22"/>
          <w:szCs w:val="22"/>
        </w:rPr>
        <w:t xml:space="preserve">Raja </w:t>
      </w:r>
      <w:proofErr w:type="spellStart"/>
      <w:r w:rsidRPr="00A83F1F">
        <w:rPr>
          <w:sz w:val="22"/>
          <w:szCs w:val="22"/>
        </w:rPr>
        <w:t>Mejjati</w:t>
      </w:r>
      <w:proofErr w:type="spellEnd"/>
      <w:r w:rsidRPr="00A83F1F">
        <w:rPr>
          <w:sz w:val="22"/>
          <w:szCs w:val="22"/>
        </w:rPr>
        <w:t xml:space="preserve"> </w:t>
      </w:r>
      <w:r w:rsidRPr="00A83F1F">
        <w:rPr>
          <w:color w:val="000000"/>
          <w:sz w:val="22"/>
          <w:szCs w:val="22"/>
        </w:rPr>
        <w:t xml:space="preserve">Alami </w:t>
      </w:r>
      <w:r>
        <w:rPr>
          <w:color w:val="000000"/>
          <w:sz w:val="22"/>
          <w:szCs w:val="22"/>
        </w:rPr>
        <w:t>(</w:t>
      </w:r>
      <w:r w:rsidRPr="00A83F1F">
        <w:rPr>
          <w:sz w:val="22"/>
          <w:szCs w:val="22"/>
        </w:rPr>
        <w:t>HEM, Maroc</w:t>
      </w:r>
      <w:r>
        <w:rPr>
          <w:sz w:val="22"/>
          <w:szCs w:val="22"/>
        </w:rPr>
        <w:t>),</w:t>
      </w:r>
      <w:r w:rsidRPr="00A83F1F">
        <w:rPr>
          <w:sz w:val="22"/>
          <w:szCs w:val="22"/>
        </w:rPr>
        <w:t xml:space="preserve"> </w:t>
      </w:r>
      <w:r w:rsidRPr="001B5760">
        <w:rPr>
          <w:color w:val="000000"/>
          <w:sz w:val="22"/>
          <w:szCs w:val="22"/>
          <w:lang w:val="es-ES"/>
        </w:rPr>
        <w:t xml:space="preserve">Farah Al </w:t>
      </w:r>
      <w:proofErr w:type="spellStart"/>
      <w:r w:rsidRPr="001B5760">
        <w:rPr>
          <w:color w:val="000000"/>
          <w:sz w:val="22"/>
          <w:szCs w:val="22"/>
          <w:lang w:val="es-ES"/>
        </w:rPr>
        <w:t>Shami</w:t>
      </w:r>
      <w:proofErr w:type="spellEnd"/>
      <w:r w:rsidRPr="00A02661">
        <w:rPr>
          <w:sz w:val="22"/>
          <w:szCs w:val="22"/>
        </w:rPr>
        <w:t xml:space="preserve"> </w:t>
      </w:r>
      <w:r>
        <w:rPr>
          <w:sz w:val="22"/>
          <w:szCs w:val="22"/>
        </w:rPr>
        <w:t>(</w:t>
      </w:r>
      <w:r w:rsidRPr="00A02661">
        <w:rPr>
          <w:sz w:val="22"/>
          <w:szCs w:val="22"/>
        </w:rPr>
        <w:t>Arab Reform Initiative, Beirut</w:t>
      </w:r>
      <w:r>
        <w:rPr>
          <w:sz w:val="22"/>
          <w:szCs w:val="22"/>
        </w:rPr>
        <w:t xml:space="preserve">, Lebanon), </w:t>
      </w:r>
      <w:r w:rsidRPr="0068068C">
        <w:rPr>
          <w:color w:val="000000"/>
          <w:sz w:val="22"/>
          <w:szCs w:val="22"/>
        </w:rPr>
        <w:t>Céline Bonnefond (CREG</w:t>
      </w:r>
      <w:r>
        <w:rPr>
          <w:color w:val="000000"/>
          <w:sz w:val="22"/>
          <w:szCs w:val="22"/>
        </w:rPr>
        <w:t>, Grenoble</w:t>
      </w:r>
      <w:r w:rsidRPr="00E50CBF">
        <w:rPr>
          <w:color w:val="000000"/>
          <w:sz w:val="22"/>
          <w:szCs w:val="22"/>
        </w:rPr>
        <w:t>)</w:t>
      </w:r>
      <w:r>
        <w:rPr>
          <w:color w:val="000000"/>
          <w:sz w:val="22"/>
          <w:szCs w:val="22"/>
        </w:rPr>
        <w:t>,</w:t>
      </w:r>
      <w:r w:rsidRPr="0068068C">
        <w:rPr>
          <w:color w:val="000000"/>
          <w:sz w:val="22"/>
          <w:szCs w:val="22"/>
        </w:rPr>
        <w:t xml:space="preserve"> </w:t>
      </w:r>
      <w:proofErr w:type="spellStart"/>
      <w:r w:rsidRPr="00A83F1F">
        <w:rPr>
          <w:sz w:val="22"/>
          <w:szCs w:val="22"/>
        </w:rPr>
        <w:t>Chaib</w:t>
      </w:r>
      <w:proofErr w:type="spellEnd"/>
      <w:r w:rsidRPr="00A83F1F">
        <w:rPr>
          <w:sz w:val="22"/>
          <w:szCs w:val="22"/>
        </w:rPr>
        <w:t xml:space="preserve"> Bounoua (Tlemcen </w:t>
      </w:r>
      <w:proofErr w:type="spellStart"/>
      <w:r w:rsidRPr="00A83F1F">
        <w:rPr>
          <w:sz w:val="22"/>
          <w:szCs w:val="22"/>
        </w:rPr>
        <w:t>University</w:t>
      </w:r>
      <w:proofErr w:type="spellEnd"/>
      <w:r w:rsidRPr="00A83F1F">
        <w:rPr>
          <w:sz w:val="22"/>
          <w:szCs w:val="22"/>
        </w:rPr>
        <w:t>, Algeria)</w:t>
      </w:r>
      <w:r>
        <w:rPr>
          <w:sz w:val="22"/>
          <w:szCs w:val="22"/>
        </w:rPr>
        <w:t>,</w:t>
      </w:r>
      <w:r w:rsidRPr="00A83F1F">
        <w:rPr>
          <w:sz w:val="22"/>
          <w:szCs w:val="22"/>
        </w:rPr>
        <w:t xml:space="preserve"> </w:t>
      </w:r>
      <w:r w:rsidRPr="00EF596C">
        <w:rPr>
          <w:color w:val="111111"/>
          <w:sz w:val="22"/>
          <w:szCs w:val="22"/>
        </w:rPr>
        <w:t xml:space="preserve">Diego </w:t>
      </w:r>
      <w:proofErr w:type="spellStart"/>
      <w:r w:rsidRPr="00EF596C">
        <w:rPr>
          <w:color w:val="111111"/>
          <w:sz w:val="22"/>
          <w:szCs w:val="22"/>
        </w:rPr>
        <w:t>Coletto</w:t>
      </w:r>
      <w:proofErr w:type="spellEnd"/>
      <w:r>
        <w:rPr>
          <w:color w:val="111111"/>
          <w:sz w:val="22"/>
          <w:szCs w:val="22"/>
        </w:rPr>
        <w:t xml:space="preserve"> (</w:t>
      </w:r>
      <w:proofErr w:type="spellStart"/>
      <w:r w:rsidRPr="00EF596C">
        <w:rPr>
          <w:color w:val="111111"/>
          <w:sz w:val="22"/>
          <w:szCs w:val="22"/>
        </w:rPr>
        <w:t>Università</w:t>
      </w:r>
      <w:proofErr w:type="spellEnd"/>
      <w:r w:rsidRPr="00EF596C">
        <w:rPr>
          <w:color w:val="111111"/>
          <w:sz w:val="22"/>
          <w:szCs w:val="22"/>
        </w:rPr>
        <w:t xml:space="preserve"> </w:t>
      </w:r>
      <w:proofErr w:type="spellStart"/>
      <w:r w:rsidRPr="00EF596C">
        <w:rPr>
          <w:color w:val="111111"/>
          <w:sz w:val="22"/>
          <w:szCs w:val="22"/>
        </w:rPr>
        <w:t>degli</w:t>
      </w:r>
      <w:proofErr w:type="spellEnd"/>
      <w:r w:rsidRPr="00EF596C">
        <w:rPr>
          <w:color w:val="111111"/>
          <w:sz w:val="22"/>
          <w:szCs w:val="22"/>
        </w:rPr>
        <w:t xml:space="preserve"> </w:t>
      </w:r>
      <w:proofErr w:type="spellStart"/>
      <w:r w:rsidRPr="00EF596C">
        <w:rPr>
          <w:color w:val="111111"/>
          <w:sz w:val="22"/>
          <w:szCs w:val="22"/>
        </w:rPr>
        <w:t>Studi</w:t>
      </w:r>
      <w:proofErr w:type="spellEnd"/>
      <w:r w:rsidRPr="00EF596C">
        <w:rPr>
          <w:color w:val="111111"/>
          <w:sz w:val="22"/>
          <w:szCs w:val="22"/>
        </w:rPr>
        <w:t xml:space="preserve"> di Milano-</w:t>
      </w:r>
      <w:proofErr w:type="spellStart"/>
      <w:r w:rsidRPr="00EF596C">
        <w:rPr>
          <w:color w:val="111111"/>
          <w:sz w:val="22"/>
          <w:szCs w:val="22"/>
        </w:rPr>
        <w:t>Bicocc</w:t>
      </w:r>
      <w:r>
        <w:rPr>
          <w:color w:val="111111"/>
          <w:sz w:val="22"/>
          <w:szCs w:val="22"/>
        </w:rPr>
        <w:t>a</w:t>
      </w:r>
      <w:proofErr w:type="spellEnd"/>
      <w:r>
        <w:rPr>
          <w:color w:val="111111"/>
          <w:sz w:val="22"/>
          <w:szCs w:val="22"/>
        </w:rPr>
        <w:t xml:space="preserve">, </w:t>
      </w:r>
      <w:proofErr w:type="spellStart"/>
      <w:r>
        <w:rPr>
          <w:color w:val="111111"/>
          <w:sz w:val="22"/>
          <w:szCs w:val="22"/>
        </w:rPr>
        <w:t>Italy</w:t>
      </w:r>
      <w:proofErr w:type="spellEnd"/>
      <w:r>
        <w:rPr>
          <w:color w:val="111111"/>
          <w:sz w:val="22"/>
          <w:szCs w:val="22"/>
        </w:rPr>
        <w:t xml:space="preserve">), </w:t>
      </w:r>
      <w:r w:rsidRPr="00A83F1F">
        <w:rPr>
          <w:color w:val="000000"/>
          <w:sz w:val="22"/>
          <w:szCs w:val="22"/>
        </w:rPr>
        <w:t xml:space="preserve">Alia </w:t>
      </w:r>
      <w:proofErr w:type="spellStart"/>
      <w:r w:rsidRPr="00A83F1F">
        <w:rPr>
          <w:color w:val="000000"/>
          <w:sz w:val="22"/>
          <w:szCs w:val="22"/>
        </w:rPr>
        <w:t>Fakhry</w:t>
      </w:r>
      <w:proofErr w:type="spellEnd"/>
      <w:r w:rsidRPr="00A83F1F">
        <w:rPr>
          <w:color w:val="000000"/>
          <w:sz w:val="22"/>
          <w:szCs w:val="22"/>
        </w:rPr>
        <w:t xml:space="preserve"> (</w:t>
      </w:r>
      <w:r w:rsidRPr="00A83F1F">
        <w:rPr>
          <w:sz w:val="22"/>
          <w:szCs w:val="22"/>
        </w:rPr>
        <w:t xml:space="preserve">German Council on </w:t>
      </w:r>
      <w:proofErr w:type="spellStart"/>
      <w:r w:rsidRPr="00A83F1F">
        <w:rPr>
          <w:sz w:val="22"/>
          <w:szCs w:val="22"/>
        </w:rPr>
        <w:t>Foreign</w:t>
      </w:r>
      <w:proofErr w:type="spellEnd"/>
      <w:r w:rsidRPr="00A83F1F">
        <w:rPr>
          <w:sz w:val="22"/>
          <w:szCs w:val="22"/>
        </w:rPr>
        <w:t xml:space="preserve"> Relation, Berlin), J</w:t>
      </w:r>
      <w:r>
        <w:rPr>
          <w:sz w:val="22"/>
          <w:szCs w:val="22"/>
        </w:rPr>
        <w:t>é</w:t>
      </w:r>
      <w:r w:rsidRPr="00A83F1F">
        <w:rPr>
          <w:sz w:val="22"/>
          <w:szCs w:val="22"/>
        </w:rPr>
        <w:t>r</w:t>
      </w:r>
      <w:r>
        <w:rPr>
          <w:sz w:val="22"/>
          <w:szCs w:val="22"/>
        </w:rPr>
        <w:t>ô</w:t>
      </w:r>
      <w:r w:rsidRPr="00A83F1F">
        <w:rPr>
          <w:sz w:val="22"/>
          <w:szCs w:val="22"/>
        </w:rPr>
        <w:t xml:space="preserve">me </w:t>
      </w:r>
      <w:proofErr w:type="spellStart"/>
      <w:r w:rsidRPr="00A83F1F">
        <w:rPr>
          <w:sz w:val="22"/>
          <w:szCs w:val="22"/>
        </w:rPr>
        <w:t>Maucourant</w:t>
      </w:r>
      <w:proofErr w:type="spellEnd"/>
      <w:r w:rsidRPr="00A83F1F">
        <w:rPr>
          <w:sz w:val="22"/>
          <w:szCs w:val="22"/>
        </w:rPr>
        <w:t xml:space="preserve"> </w:t>
      </w:r>
      <w:r>
        <w:rPr>
          <w:sz w:val="22"/>
          <w:szCs w:val="22"/>
        </w:rPr>
        <w:t>(</w:t>
      </w:r>
      <w:r w:rsidRPr="00A83F1F">
        <w:rPr>
          <w:bCs/>
          <w:sz w:val="22"/>
          <w:szCs w:val="22"/>
        </w:rPr>
        <w:t xml:space="preserve">Triangle </w:t>
      </w:r>
      <w:r>
        <w:rPr>
          <w:bCs/>
          <w:sz w:val="22"/>
          <w:szCs w:val="22"/>
        </w:rPr>
        <w:t xml:space="preserve">CNRS, Lyon), </w:t>
      </w:r>
      <w:r w:rsidRPr="00FB4D37">
        <w:rPr>
          <w:sz w:val="22"/>
          <w:szCs w:val="22"/>
        </w:rPr>
        <w:t>Laurence O. M</w:t>
      </w:r>
      <w:r>
        <w:rPr>
          <w:sz w:val="22"/>
          <w:szCs w:val="22"/>
        </w:rPr>
        <w:t xml:space="preserve">ichalak (Berkeley, USA), </w:t>
      </w:r>
      <w:proofErr w:type="spellStart"/>
      <w:r w:rsidR="00EF3893">
        <w:rPr>
          <w:sz w:val="22"/>
          <w:szCs w:val="22"/>
        </w:rPr>
        <w:t>Saib</w:t>
      </w:r>
      <w:proofErr w:type="spellEnd"/>
      <w:r w:rsidR="00EF3893">
        <w:rPr>
          <w:sz w:val="22"/>
          <w:szCs w:val="22"/>
        </w:rPr>
        <w:t xml:space="preserve"> Musette (CREAD, Alger), </w:t>
      </w:r>
      <w:proofErr w:type="spellStart"/>
      <w:r w:rsidRPr="00A83F1F">
        <w:rPr>
          <w:sz w:val="22"/>
          <w:szCs w:val="22"/>
        </w:rPr>
        <w:t>Aysit</w:t>
      </w:r>
      <w:proofErr w:type="spellEnd"/>
      <w:r w:rsidRPr="00A83F1F">
        <w:rPr>
          <w:sz w:val="22"/>
          <w:szCs w:val="22"/>
        </w:rPr>
        <w:t xml:space="preserve"> </w:t>
      </w:r>
      <w:proofErr w:type="spellStart"/>
      <w:r w:rsidRPr="00A83F1F">
        <w:rPr>
          <w:sz w:val="22"/>
          <w:szCs w:val="22"/>
        </w:rPr>
        <w:t>Tansel</w:t>
      </w:r>
      <w:proofErr w:type="spellEnd"/>
      <w:r w:rsidRPr="00A83F1F">
        <w:rPr>
          <w:sz w:val="22"/>
          <w:szCs w:val="22"/>
        </w:rPr>
        <w:t xml:space="preserve"> (MTU, Ankara, </w:t>
      </w:r>
      <w:proofErr w:type="spellStart"/>
      <w:r w:rsidRPr="00A83F1F">
        <w:rPr>
          <w:sz w:val="22"/>
          <w:szCs w:val="22"/>
        </w:rPr>
        <w:t>Turkey</w:t>
      </w:r>
      <w:proofErr w:type="spellEnd"/>
      <w:r w:rsidRPr="00A83F1F">
        <w:rPr>
          <w:sz w:val="22"/>
          <w:szCs w:val="22"/>
        </w:rPr>
        <w:t>)</w:t>
      </w:r>
      <w:r>
        <w:rPr>
          <w:sz w:val="22"/>
          <w:szCs w:val="22"/>
        </w:rPr>
        <w:t>.</w:t>
      </w:r>
    </w:p>
    <w:p w:rsidR="005457F1" w:rsidRDefault="005457F1" w:rsidP="005457F1">
      <w:pPr>
        <w:spacing w:after="120"/>
        <w:jc w:val="both"/>
        <w:rPr>
          <w:color w:val="000000"/>
          <w:sz w:val="22"/>
          <w:szCs w:val="22"/>
        </w:rPr>
      </w:pPr>
      <w:r w:rsidRPr="0068068C">
        <w:rPr>
          <w:color w:val="000000"/>
          <w:sz w:val="22"/>
          <w:szCs w:val="22"/>
        </w:rPr>
        <w:t xml:space="preserve">Le workshop bénéficie du soutien </w:t>
      </w:r>
      <w:r>
        <w:rPr>
          <w:color w:val="000000"/>
          <w:sz w:val="22"/>
          <w:szCs w:val="22"/>
        </w:rPr>
        <w:t xml:space="preserve">de </w:t>
      </w:r>
      <w:r w:rsidRPr="0068068C">
        <w:rPr>
          <w:color w:val="000000"/>
          <w:sz w:val="22"/>
          <w:szCs w:val="22"/>
        </w:rPr>
        <w:t>l’Université Grenoble-Alpes</w:t>
      </w:r>
      <w:r>
        <w:rPr>
          <w:color w:val="000000"/>
          <w:sz w:val="22"/>
          <w:szCs w:val="22"/>
        </w:rPr>
        <w:t>,</w:t>
      </w:r>
      <w:r w:rsidR="006C2981">
        <w:rPr>
          <w:color w:val="000000"/>
          <w:sz w:val="22"/>
          <w:szCs w:val="22"/>
        </w:rPr>
        <w:t xml:space="preserve"> de l’IUT de Valence,</w:t>
      </w:r>
      <w:r>
        <w:rPr>
          <w:color w:val="000000"/>
          <w:sz w:val="22"/>
          <w:szCs w:val="22"/>
        </w:rPr>
        <w:t xml:space="preserve"> </w:t>
      </w:r>
      <w:r w:rsidRPr="0068068C">
        <w:rPr>
          <w:color w:val="000000"/>
          <w:sz w:val="22"/>
          <w:szCs w:val="22"/>
        </w:rPr>
        <w:t xml:space="preserve">du laboratoire de recherche </w:t>
      </w:r>
      <w:r w:rsidRPr="009F2E4D">
        <w:rPr>
          <w:i/>
          <w:color w:val="000000"/>
          <w:sz w:val="22"/>
          <w:szCs w:val="22"/>
        </w:rPr>
        <w:t>CREG</w:t>
      </w:r>
      <w:r>
        <w:rPr>
          <w:color w:val="000000"/>
          <w:sz w:val="22"/>
          <w:szCs w:val="22"/>
        </w:rPr>
        <w:t xml:space="preserve">, </w:t>
      </w:r>
      <w:r w:rsidR="00646321" w:rsidRPr="00646321">
        <w:rPr>
          <w:color w:val="000000"/>
          <w:sz w:val="22"/>
          <w:szCs w:val="22"/>
        </w:rPr>
        <w:t>de</w:t>
      </w:r>
      <w:r w:rsidR="00646321" w:rsidRPr="00646321">
        <w:rPr>
          <w:i/>
          <w:color w:val="000000"/>
          <w:sz w:val="22"/>
          <w:szCs w:val="22"/>
        </w:rPr>
        <w:t xml:space="preserve"> </w:t>
      </w:r>
      <w:proofErr w:type="spellStart"/>
      <w:r w:rsidR="00646321" w:rsidRPr="00646321">
        <w:rPr>
          <w:i/>
          <w:color w:val="000000"/>
          <w:sz w:val="22"/>
          <w:szCs w:val="22"/>
        </w:rPr>
        <w:t>Euro-Medite</w:t>
      </w:r>
      <w:r w:rsidR="00F94F60">
        <w:rPr>
          <w:i/>
          <w:color w:val="000000"/>
          <w:sz w:val="22"/>
          <w:szCs w:val="22"/>
        </w:rPr>
        <w:t>r</w:t>
      </w:r>
      <w:r w:rsidR="00646321" w:rsidRPr="00646321">
        <w:rPr>
          <w:i/>
          <w:color w:val="000000"/>
          <w:sz w:val="22"/>
          <w:szCs w:val="22"/>
        </w:rPr>
        <w:t>ra</w:t>
      </w:r>
      <w:bookmarkStart w:id="5" w:name="_GoBack"/>
      <w:bookmarkEnd w:id="5"/>
      <w:r w:rsidR="00646321" w:rsidRPr="00646321">
        <w:rPr>
          <w:i/>
          <w:color w:val="000000"/>
          <w:sz w:val="22"/>
          <w:szCs w:val="22"/>
        </w:rPr>
        <w:t>nean</w:t>
      </w:r>
      <w:proofErr w:type="spellEnd"/>
      <w:r w:rsidR="00646321" w:rsidRPr="00646321">
        <w:rPr>
          <w:i/>
          <w:color w:val="000000"/>
          <w:sz w:val="22"/>
          <w:szCs w:val="22"/>
        </w:rPr>
        <w:t xml:space="preserve"> </w:t>
      </w:r>
      <w:proofErr w:type="spellStart"/>
      <w:r w:rsidR="00646321" w:rsidRPr="00646321">
        <w:rPr>
          <w:i/>
          <w:color w:val="000000"/>
          <w:sz w:val="22"/>
          <w:szCs w:val="22"/>
        </w:rPr>
        <w:t>Economists</w:t>
      </w:r>
      <w:proofErr w:type="spellEnd"/>
      <w:r w:rsidR="00646321" w:rsidRPr="00646321">
        <w:rPr>
          <w:i/>
          <w:color w:val="000000"/>
          <w:sz w:val="22"/>
          <w:szCs w:val="22"/>
        </w:rPr>
        <w:t xml:space="preserve"> Association</w:t>
      </w:r>
      <w:r w:rsidR="00646321">
        <w:rPr>
          <w:color w:val="000000"/>
          <w:sz w:val="22"/>
          <w:szCs w:val="22"/>
        </w:rPr>
        <w:t xml:space="preserve">, </w:t>
      </w:r>
      <w:r w:rsidRPr="0068068C">
        <w:rPr>
          <w:color w:val="000000"/>
          <w:sz w:val="22"/>
          <w:szCs w:val="22"/>
        </w:rPr>
        <w:t xml:space="preserve">des revues </w:t>
      </w:r>
      <w:r w:rsidRPr="0068068C">
        <w:rPr>
          <w:i/>
          <w:color w:val="000000"/>
          <w:sz w:val="22"/>
          <w:szCs w:val="22"/>
        </w:rPr>
        <w:t>Maghreb-Machrek</w:t>
      </w:r>
      <w:r w:rsidRPr="0068068C">
        <w:rPr>
          <w:color w:val="000000"/>
          <w:sz w:val="22"/>
          <w:szCs w:val="22"/>
        </w:rPr>
        <w:t xml:space="preserve"> et </w:t>
      </w:r>
      <w:r w:rsidRPr="0068068C">
        <w:rPr>
          <w:i/>
          <w:color w:val="000000"/>
          <w:sz w:val="22"/>
          <w:szCs w:val="22"/>
        </w:rPr>
        <w:t>Maghreb-</w:t>
      </w:r>
      <w:proofErr w:type="spellStart"/>
      <w:r w:rsidRPr="0068068C">
        <w:rPr>
          <w:i/>
          <w:color w:val="000000"/>
          <w:sz w:val="22"/>
          <w:szCs w:val="22"/>
        </w:rPr>
        <w:t>Mashrek</w:t>
      </w:r>
      <w:proofErr w:type="spellEnd"/>
      <w:r w:rsidRPr="0068068C">
        <w:rPr>
          <w:i/>
          <w:color w:val="000000"/>
          <w:sz w:val="22"/>
          <w:szCs w:val="22"/>
        </w:rPr>
        <w:t xml:space="preserve"> International</w:t>
      </w:r>
      <w:r>
        <w:rPr>
          <w:color w:val="000000"/>
          <w:sz w:val="22"/>
          <w:szCs w:val="22"/>
        </w:rPr>
        <w:t>,</w:t>
      </w:r>
      <w:r w:rsidRPr="001F081A">
        <w:rPr>
          <w:color w:val="000000"/>
          <w:sz w:val="22"/>
          <w:szCs w:val="22"/>
        </w:rPr>
        <w:t xml:space="preserve"> </w:t>
      </w:r>
      <w:r w:rsidRPr="0068068C">
        <w:rPr>
          <w:color w:val="000000"/>
          <w:sz w:val="22"/>
          <w:szCs w:val="22"/>
        </w:rPr>
        <w:t>ainsi que de l’</w:t>
      </w:r>
      <w:r w:rsidRPr="0068068C">
        <w:rPr>
          <w:i/>
          <w:color w:val="000000"/>
          <w:sz w:val="22"/>
          <w:szCs w:val="22"/>
        </w:rPr>
        <w:t>Association Tiers-Monde</w:t>
      </w:r>
      <w:r>
        <w:rPr>
          <w:color w:val="000000"/>
          <w:sz w:val="22"/>
          <w:szCs w:val="22"/>
        </w:rPr>
        <w:t>.</w:t>
      </w:r>
    </w:p>
    <w:p w:rsidR="007D3671" w:rsidRPr="0068068C" w:rsidRDefault="007D3671" w:rsidP="005457F1">
      <w:pPr>
        <w:spacing w:after="120"/>
        <w:jc w:val="both"/>
        <w:rPr>
          <w:color w:val="000000"/>
          <w:sz w:val="22"/>
          <w:szCs w:val="22"/>
        </w:rPr>
      </w:pPr>
    </w:p>
    <w:p w:rsidR="007D3671" w:rsidRDefault="005457F1" w:rsidP="007D3671">
      <w:pPr>
        <w:pBdr>
          <w:top w:val="single" w:sz="4" w:space="1" w:color="auto"/>
          <w:left w:val="single" w:sz="4" w:space="4" w:color="auto"/>
          <w:bottom w:val="single" w:sz="4" w:space="1" w:color="auto"/>
          <w:right w:val="single" w:sz="4" w:space="4" w:color="auto"/>
        </w:pBdr>
      </w:pPr>
      <w:bookmarkStart w:id="6" w:name="_Hlk125989983"/>
      <w:r>
        <w:rPr>
          <w:noProof/>
          <w:lang w:val="en-GB" w:eastAsia="en-GB"/>
        </w:rPr>
        <w:drawing>
          <wp:inline distT="0" distB="0" distL="0" distR="0" wp14:anchorId="73CD6130" wp14:editId="291665E0">
            <wp:extent cx="776283" cy="475958"/>
            <wp:effectExtent l="0" t="0" r="5080" b="635"/>
            <wp:docPr id="5" name="Image 5" descr="Fichier:Logo Université Grenoble Alpes 2020.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Université Grenoble Alpes 2020.svg — Wikip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4142" cy="493039"/>
                    </a:xfrm>
                    <a:prstGeom prst="rect">
                      <a:avLst/>
                    </a:prstGeom>
                    <a:noFill/>
                    <a:ln>
                      <a:noFill/>
                    </a:ln>
                  </pic:spPr>
                </pic:pic>
              </a:graphicData>
            </a:graphic>
          </wp:inline>
        </w:drawing>
      </w:r>
      <w:r w:rsidR="007D3671">
        <w:tab/>
      </w:r>
      <w:r w:rsidR="007D3671">
        <w:tab/>
      </w:r>
      <w:r w:rsidR="007D3671" w:rsidRPr="00507BF7">
        <w:rPr>
          <w:noProof/>
          <w:lang w:val="en-GB" w:eastAsia="en-GB"/>
        </w:rPr>
        <w:drawing>
          <wp:inline distT="0" distB="0" distL="0" distR="0" wp14:anchorId="56F3E9C6" wp14:editId="665C35A2">
            <wp:extent cx="1373505" cy="3524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38173" b="36649"/>
                    <a:stretch/>
                  </pic:blipFill>
                  <pic:spPr bwMode="auto">
                    <a:xfrm>
                      <a:off x="0" y="0"/>
                      <a:ext cx="1442129" cy="370033"/>
                    </a:xfrm>
                    <a:prstGeom prst="rect">
                      <a:avLst/>
                    </a:prstGeom>
                    <a:ln>
                      <a:noFill/>
                    </a:ln>
                    <a:extLst>
                      <a:ext uri="{53640926-AAD7-44D8-BBD7-CCE9431645EC}">
                        <a14:shadowObscured xmlns:a14="http://schemas.microsoft.com/office/drawing/2010/main"/>
                      </a:ext>
                    </a:extLst>
                  </pic:spPr>
                </pic:pic>
              </a:graphicData>
            </a:graphic>
          </wp:inline>
        </w:drawing>
      </w:r>
      <w:r w:rsidR="007D3671">
        <w:tab/>
      </w:r>
      <w:r w:rsidR="007D3671">
        <w:rPr>
          <w:noProof/>
          <w:lang w:val="en-GB" w:eastAsia="en-GB"/>
        </w:rPr>
        <w:drawing>
          <wp:inline distT="0" distB="0" distL="0" distR="0" wp14:anchorId="35879F88" wp14:editId="2EFFF628">
            <wp:extent cx="723900" cy="532299"/>
            <wp:effectExtent l="0" t="0" r="0" b="1270"/>
            <wp:docPr id="3" name="Image 3" descr="Logo IUT Va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IUT Val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3015" cy="568414"/>
                    </a:xfrm>
                    <a:prstGeom prst="rect">
                      <a:avLst/>
                    </a:prstGeom>
                    <a:noFill/>
                    <a:ln>
                      <a:noFill/>
                    </a:ln>
                  </pic:spPr>
                </pic:pic>
              </a:graphicData>
            </a:graphic>
          </wp:inline>
        </w:drawing>
      </w:r>
      <w:r w:rsidR="007D3671">
        <w:t xml:space="preserve">    </w:t>
      </w:r>
      <w:r w:rsidR="007D3671">
        <w:rPr>
          <w:noProof/>
          <w:lang w:val="en-GB" w:eastAsia="en-GB"/>
        </w:rPr>
        <w:drawing>
          <wp:inline distT="0" distB="0" distL="0" distR="0" wp14:anchorId="4B65F2E6" wp14:editId="21243B8C">
            <wp:extent cx="1238250" cy="563619"/>
            <wp:effectExtent l="0" t="0" r="0" b="8255"/>
            <wp:docPr id="4" name="Image 4" descr="https://creg.univ-grenoble-alpes.fr/sites/creg/files/Mediatheque/creg_logo_carrou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reg.univ-grenoble-alpes.fr/sites/creg/files/Mediatheque/creg_logo_carrouse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1214" cy="615037"/>
                    </a:xfrm>
                    <a:prstGeom prst="rect">
                      <a:avLst/>
                    </a:prstGeom>
                    <a:noFill/>
                    <a:ln>
                      <a:noFill/>
                    </a:ln>
                  </pic:spPr>
                </pic:pic>
              </a:graphicData>
            </a:graphic>
          </wp:inline>
        </w:drawing>
      </w:r>
    </w:p>
    <w:p w:rsidR="007D3671" w:rsidRDefault="007D3671" w:rsidP="007D3671">
      <w:pPr>
        <w:pBdr>
          <w:top w:val="single" w:sz="4" w:space="1" w:color="auto"/>
          <w:left w:val="single" w:sz="4" w:space="4" w:color="auto"/>
          <w:bottom w:val="single" w:sz="4" w:space="1" w:color="auto"/>
          <w:right w:val="single" w:sz="4" w:space="4" w:color="auto"/>
        </w:pBdr>
      </w:pPr>
    </w:p>
    <w:bookmarkEnd w:id="6"/>
    <w:p w:rsidR="005D7133" w:rsidRDefault="00646321" w:rsidP="00646321">
      <w:pPr>
        <w:pBdr>
          <w:top w:val="single" w:sz="4" w:space="1" w:color="auto"/>
          <w:left w:val="single" w:sz="4" w:space="4" w:color="auto"/>
          <w:bottom w:val="single" w:sz="4" w:space="1" w:color="auto"/>
          <w:right w:val="single" w:sz="4" w:space="4" w:color="auto"/>
        </w:pBdr>
      </w:pPr>
      <w:r>
        <w:rPr>
          <w:noProof/>
          <w:lang w:eastAsia="en-GB"/>
        </w:rPr>
        <w:t xml:space="preserve"> </w:t>
      </w:r>
      <w:r>
        <w:rPr>
          <w:noProof/>
          <w:lang w:val="en-GB" w:eastAsia="en-GB"/>
        </w:rPr>
        <w:drawing>
          <wp:inline distT="0" distB="0" distL="0" distR="0" wp14:anchorId="7AAA9115" wp14:editId="7C8CB981">
            <wp:extent cx="581025" cy="513427"/>
            <wp:effectExtent l="0" t="0" r="0" b="1270"/>
            <wp:docPr id="2" name="Image 2" descr="e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7225" cy="545416"/>
                    </a:xfrm>
                    <a:prstGeom prst="rect">
                      <a:avLst/>
                    </a:prstGeom>
                    <a:noFill/>
                    <a:ln>
                      <a:noFill/>
                    </a:ln>
                  </pic:spPr>
                </pic:pic>
              </a:graphicData>
            </a:graphic>
          </wp:inline>
        </w:drawing>
      </w:r>
      <w:r>
        <w:rPr>
          <w:noProof/>
          <w:lang w:eastAsia="en-GB"/>
        </w:rPr>
        <w:t xml:space="preserve">   </w:t>
      </w:r>
      <w:r w:rsidR="005457F1" w:rsidRPr="004A3448">
        <w:rPr>
          <w:noProof/>
          <w:lang w:val="en-GB" w:eastAsia="en-GB"/>
        </w:rPr>
        <w:drawing>
          <wp:inline distT="0" distB="0" distL="0" distR="0" wp14:anchorId="65E5B0DC" wp14:editId="37BED0D3">
            <wp:extent cx="993775" cy="504035"/>
            <wp:effectExtent l="0" t="0" r="0" b="0"/>
            <wp:docPr id="1" name="Image 1" descr="C:\Users\Philippe\AppData\Local\Microsoft\Windows\INetCache\Content.Outlook\U28PTPX1\logo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pe\AppData\Local\Microsoft\Windows\INetCache\Content.Outlook\U28PTPX1\logo MM.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24003" cy="519367"/>
                    </a:xfrm>
                    <a:prstGeom prst="rect">
                      <a:avLst/>
                    </a:prstGeom>
                    <a:noFill/>
                    <a:ln>
                      <a:noFill/>
                    </a:ln>
                  </pic:spPr>
                </pic:pic>
              </a:graphicData>
            </a:graphic>
          </wp:inline>
        </w:drawing>
      </w:r>
      <w:r>
        <w:t xml:space="preserve">   </w:t>
      </w:r>
      <w:r w:rsidR="00CA770B">
        <w:rPr>
          <w:noProof/>
          <w:lang w:val="en-GB" w:eastAsia="en-GB"/>
        </w:rPr>
        <w:drawing>
          <wp:inline distT="0" distB="0" distL="0" distR="0" wp14:anchorId="00F54397" wp14:editId="5C2EB1A0">
            <wp:extent cx="1069140" cy="504190"/>
            <wp:effectExtent l="0" t="0" r="0" b="0"/>
            <wp:docPr id="8" name="Image 8" descr="Maghreb-Machrek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hreb-Machrek Internationa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5368" cy="544854"/>
                    </a:xfrm>
                    <a:prstGeom prst="rect">
                      <a:avLst/>
                    </a:prstGeom>
                    <a:noFill/>
                    <a:ln>
                      <a:noFill/>
                    </a:ln>
                  </pic:spPr>
                </pic:pic>
              </a:graphicData>
            </a:graphic>
          </wp:inline>
        </w:drawing>
      </w:r>
      <w:r>
        <w:t xml:space="preserve">   </w:t>
      </w:r>
      <w:r w:rsidR="005D7133" w:rsidRPr="00BE047E">
        <w:rPr>
          <w:rFonts w:ascii="Berlin Sans FB" w:hAnsi="Berlin Sans FB"/>
          <w:i/>
          <w:noProof/>
          <w:lang w:val="en-GB" w:eastAsia="en-GB"/>
        </w:rPr>
        <w:drawing>
          <wp:inline distT="0" distB="0" distL="0" distR="0" wp14:anchorId="53D30C48" wp14:editId="628B01DE">
            <wp:extent cx="1964383" cy="5041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92461" cy="511397"/>
                    </a:xfrm>
                    <a:prstGeom prst="rect">
                      <a:avLst/>
                    </a:prstGeom>
                  </pic:spPr>
                </pic:pic>
              </a:graphicData>
            </a:graphic>
          </wp:inline>
        </w:drawing>
      </w:r>
    </w:p>
    <w:p w:rsidR="00DA461B" w:rsidRDefault="00DA461B"/>
    <w:sectPr w:rsidR="00DA46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C70" w:rsidRDefault="00626C70" w:rsidP="005457F1">
      <w:r>
        <w:separator/>
      </w:r>
    </w:p>
  </w:endnote>
  <w:endnote w:type="continuationSeparator" w:id="0">
    <w:p w:rsidR="00626C70" w:rsidRDefault="00626C70" w:rsidP="0054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C70" w:rsidRDefault="00626C70" w:rsidP="005457F1">
      <w:r>
        <w:separator/>
      </w:r>
    </w:p>
  </w:footnote>
  <w:footnote w:type="continuationSeparator" w:id="0">
    <w:p w:rsidR="00626C70" w:rsidRDefault="00626C70" w:rsidP="005457F1">
      <w:r>
        <w:continuationSeparator/>
      </w:r>
    </w:p>
  </w:footnote>
  <w:footnote w:id="1">
    <w:p w:rsidR="005457F1" w:rsidRDefault="005457F1" w:rsidP="005457F1">
      <w:pPr>
        <w:pBdr>
          <w:top w:val="single" w:sz="4" w:space="1" w:color="auto"/>
          <w:left w:val="single" w:sz="4" w:space="4" w:color="auto"/>
          <w:bottom w:val="single" w:sz="4" w:space="1" w:color="auto"/>
          <w:right w:val="single" w:sz="4" w:space="4" w:color="auto"/>
        </w:pBdr>
        <w:jc w:val="both"/>
        <w:rPr>
          <w:bCs/>
          <w:sz w:val="20"/>
          <w:szCs w:val="20"/>
        </w:rPr>
      </w:pPr>
      <w:r>
        <w:rPr>
          <w:rStyle w:val="Appelnotedebasdep"/>
        </w:rPr>
        <w:footnoteRef/>
      </w:r>
      <w:r>
        <w:t xml:space="preserve"> </w:t>
      </w:r>
      <w:r w:rsidRPr="0077708E">
        <w:rPr>
          <w:bCs/>
          <w:sz w:val="20"/>
          <w:szCs w:val="20"/>
        </w:rPr>
        <w:t xml:space="preserve">Fondée en 1960, </w:t>
      </w:r>
      <w:r w:rsidRPr="0077708E">
        <w:rPr>
          <w:bCs/>
          <w:i/>
          <w:sz w:val="20"/>
          <w:szCs w:val="20"/>
        </w:rPr>
        <w:t>Maghreb-Machrek</w:t>
      </w:r>
      <w:r w:rsidRPr="0077708E">
        <w:rPr>
          <w:bCs/>
          <w:sz w:val="20"/>
          <w:szCs w:val="20"/>
        </w:rPr>
        <w:t xml:space="preserve"> est une revue internationale de sciences sociales de premier plan consacrée aux enjeux contemporains de la région du Moyen-Orient et de l’Afrique du Nord. </w:t>
      </w:r>
      <w:r>
        <w:rPr>
          <w:bCs/>
          <w:sz w:val="20"/>
          <w:szCs w:val="20"/>
        </w:rPr>
        <w:t>Elle</w:t>
      </w:r>
      <w:r w:rsidRPr="0077708E">
        <w:rPr>
          <w:bCs/>
          <w:sz w:val="20"/>
          <w:szCs w:val="20"/>
        </w:rPr>
        <w:t xml:space="preserve"> rassemble des articles d’experts proposant une analyse approfondie sur les sujets suivants : systèmes politiques, questions économiques, mobilisations sociales, dynamiques transnationales et relations internationales. La revue défend une perspective multidisciplinaire fondée sur les sciences politiques, l’histoire, la géographie, la sociologie et l’économie.</w:t>
      </w:r>
    </w:p>
    <w:p w:rsidR="005457F1" w:rsidRDefault="005457F1" w:rsidP="005457F1">
      <w:pPr>
        <w:pBdr>
          <w:top w:val="single" w:sz="4" w:space="1" w:color="auto"/>
          <w:left w:val="single" w:sz="4" w:space="4" w:color="auto"/>
          <w:bottom w:val="single" w:sz="4" w:space="1" w:color="auto"/>
          <w:right w:val="single" w:sz="4" w:space="4" w:color="auto"/>
        </w:pBdr>
        <w:jc w:val="both"/>
      </w:pPr>
      <w:r>
        <w:rPr>
          <w:bCs/>
          <w:sz w:val="20"/>
          <w:szCs w:val="20"/>
        </w:rPr>
        <w:t xml:space="preserve">L’édition anglaise </w:t>
      </w:r>
      <w:r>
        <w:rPr>
          <w:bCs/>
          <w:i/>
          <w:sz w:val="20"/>
          <w:szCs w:val="20"/>
        </w:rPr>
        <w:t>Maghreb-</w:t>
      </w:r>
      <w:proofErr w:type="spellStart"/>
      <w:r>
        <w:rPr>
          <w:bCs/>
          <w:i/>
          <w:sz w:val="20"/>
          <w:szCs w:val="20"/>
        </w:rPr>
        <w:t>Mas</w:t>
      </w:r>
      <w:r w:rsidRPr="0077708E">
        <w:rPr>
          <w:bCs/>
          <w:i/>
          <w:sz w:val="20"/>
          <w:szCs w:val="20"/>
        </w:rPr>
        <w:t>hrek</w:t>
      </w:r>
      <w:proofErr w:type="spellEnd"/>
      <w:r>
        <w:rPr>
          <w:bCs/>
          <w:i/>
          <w:sz w:val="20"/>
          <w:szCs w:val="20"/>
        </w:rPr>
        <w:t xml:space="preserve"> International </w:t>
      </w:r>
      <w:r w:rsidRPr="0068068C">
        <w:rPr>
          <w:bCs/>
          <w:sz w:val="20"/>
          <w:szCs w:val="20"/>
        </w:rPr>
        <w:t>est publiée en 2023</w:t>
      </w:r>
      <w:r>
        <w:rPr>
          <w:bCs/>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F1"/>
    <w:rsid w:val="00004818"/>
    <w:rsid w:val="001B2D68"/>
    <w:rsid w:val="001C1C7C"/>
    <w:rsid w:val="002A36D5"/>
    <w:rsid w:val="002F3984"/>
    <w:rsid w:val="00313834"/>
    <w:rsid w:val="00367B3C"/>
    <w:rsid w:val="005457F1"/>
    <w:rsid w:val="005D7133"/>
    <w:rsid w:val="0061577B"/>
    <w:rsid w:val="00626C70"/>
    <w:rsid w:val="00646321"/>
    <w:rsid w:val="006C2981"/>
    <w:rsid w:val="007B2146"/>
    <w:rsid w:val="007D3671"/>
    <w:rsid w:val="00832D36"/>
    <w:rsid w:val="008A4BB9"/>
    <w:rsid w:val="008B196F"/>
    <w:rsid w:val="008B6831"/>
    <w:rsid w:val="008E46BB"/>
    <w:rsid w:val="008E4F5B"/>
    <w:rsid w:val="009F2E4D"/>
    <w:rsid w:val="00A729AE"/>
    <w:rsid w:val="00B37C23"/>
    <w:rsid w:val="00B60C94"/>
    <w:rsid w:val="00BA587E"/>
    <w:rsid w:val="00C441C5"/>
    <w:rsid w:val="00C832E1"/>
    <w:rsid w:val="00CA770B"/>
    <w:rsid w:val="00D22D42"/>
    <w:rsid w:val="00D80E4C"/>
    <w:rsid w:val="00DA461B"/>
    <w:rsid w:val="00DD48BD"/>
    <w:rsid w:val="00DF0D3A"/>
    <w:rsid w:val="00EF3893"/>
    <w:rsid w:val="00F2085A"/>
    <w:rsid w:val="00F9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4577"/>
  <w15:chartTrackingRefBased/>
  <w15:docId w15:val="{5CB326B9-0331-499A-8BAA-35CB294F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7F1"/>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57F1"/>
    <w:rPr>
      <w:color w:val="0000FF"/>
      <w:u w:val="single"/>
    </w:rPr>
  </w:style>
  <w:style w:type="character" w:styleId="Accentuation">
    <w:name w:val="Emphasis"/>
    <w:basedOn w:val="Policepardfaut"/>
    <w:uiPriority w:val="20"/>
    <w:qFormat/>
    <w:rsid w:val="005457F1"/>
    <w:rPr>
      <w:i/>
      <w:iCs/>
    </w:rPr>
  </w:style>
  <w:style w:type="character" w:customStyle="1" w:styleId="auteur">
    <w:name w:val="auteur"/>
    <w:basedOn w:val="Policepardfaut"/>
    <w:rsid w:val="005457F1"/>
  </w:style>
  <w:style w:type="character" w:customStyle="1" w:styleId="in-revue">
    <w:name w:val="in-revue"/>
    <w:basedOn w:val="Policepardfaut"/>
    <w:rsid w:val="005457F1"/>
  </w:style>
  <w:style w:type="character" w:styleId="lev">
    <w:name w:val="Strong"/>
    <w:basedOn w:val="Policepardfaut"/>
    <w:uiPriority w:val="22"/>
    <w:qFormat/>
    <w:rsid w:val="005457F1"/>
    <w:rPr>
      <w:b/>
      <w:bCs/>
    </w:rPr>
  </w:style>
  <w:style w:type="paragraph" w:styleId="NormalWeb">
    <w:name w:val="Normal (Web)"/>
    <w:basedOn w:val="Normal"/>
    <w:uiPriority w:val="99"/>
    <w:unhideWhenUsed/>
    <w:rsid w:val="005457F1"/>
    <w:pPr>
      <w:spacing w:before="100" w:beforeAutospacing="1" w:after="100" w:afterAutospacing="1"/>
    </w:pPr>
  </w:style>
  <w:style w:type="character" w:styleId="Appelnotedebasdep">
    <w:name w:val="footnote reference"/>
    <w:basedOn w:val="Policepardfaut"/>
    <w:uiPriority w:val="99"/>
    <w:semiHidden/>
    <w:unhideWhenUsed/>
    <w:rsid w:val="0054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neesmondiales.com/asie/jordanie/index.php" TargetMode="External"/><Relationship Id="rId13" Type="http://schemas.openxmlformats.org/officeDocument/2006/relationships/hyperlink" Target="https://www.pewresearch.org/global/2015/07/08/a-global-middle-class-is-more-promise-than-reality/" TargetMode="External"/><Relationship Id="rId18" Type="http://schemas.openxmlformats.org/officeDocument/2006/relationships/hyperlink" Target="https://creg.univ-grenoble-alpes.fr/actualites/worshop-middle-classes-mena" TargetMode="External"/><Relationship Id="rId26" Type="http://schemas.openxmlformats.org/officeDocument/2006/relationships/image" Target="media/image8.tiff"/><Relationship Id="rId3" Type="http://schemas.openxmlformats.org/officeDocument/2006/relationships/webSettings" Target="webSettings.xml"/><Relationship Id="rId21" Type="http://schemas.openxmlformats.org/officeDocument/2006/relationships/image" Target="media/image3.jpeg"/><Relationship Id="rId7" Type="http://schemas.openxmlformats.org/officeDocument/2006/relationships/hyperlink" Target="https://www.donneesmondiales.com/asie/irak/index.php" TargetMode="External"/><Relationship Id="rId12" Type="http://schemas.openxmlformats.org/officeDocument/2006/relationships/hyperlink" Target="https://oxford.universitypressscholarship.com/view/10.1093/oso/9780192896858.001.0001/oso-9780192896858" TargetMode="External"/><Relationship Id="rId17" Type="http://schemas.openxmlformats.org/officeDocument/2006/relationships/hyperlink" Target="mailto:adair@u-pec.fr" TargetMode="External"/><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books.google.fr/url?client=ca-print-cambridge&amp;format=googleprint&amp;num=0&amp;id=RgHk87N9zAsC&amp;q=http://www.cambridge.org/9780521528689&amp;usg=AOvVaw1kVMZFtMGGKaNbribn8yOi&amp;source=gbs_buy_r"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www.donneesmondiales.com/afrique/egypte/index.php" TargetMode="External"/><Relationship Id="rId11" Type="http://schemas.openxmlformats.org/officeDocument/2006/relationships/hyperlink" Target="https://www.donneesmondiales.com/asie/syrie/index.php" TargetMode="External"/><Relationship Id="rId24"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www.google.com/search?rlz=1C1CHBF_frFR932FR932&amp;sxsrf=ALiCzsbwUHea4dU-vQhMTXhg2ijI2B7Jcw:1661356383586&amp;tbm=bks&amp;q=inauthor:%22Simon+Szreter%22&amp;sa=X&amp;ved=2ahUKEwi_3tro6t_5AhWiz4UKHa1CDAoQ9Ah6BAgTEAg"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https://www.donneesmondiales.com/asie/palestine/index.php" TargetMode="External"/><Relationship Id="rId19"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donneesmondiales.com/asie/liban/index.php" TargetMode="External"/><Relationship Id="rId14" Type="http://schemas.openxmlformats.org/officeDocument/2006/relationships/hyperlink" Target="http://www.pewresearch.org"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2972</Words>
  <Characters>16346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dc:creator>
  <cp:keywords/>
  <dc:description/>
  <cp:lastModifiedBy>Celine Bonnefond</cp:lastModifiedBy>
  <cp:revision>7</cp:revision>
  <dcterms:created xsi:type="dcterms:W3CDTF">2023-02-02T13:56:00Z</dcterms:created>
  <dcterms:modified xsi:type="dcterms:W3CDTF">2023-02-02T15:42:00Z</dcterms:modified>
</cp:coreProperties>
</file>